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3AA57D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876CC">
        <w:rPr>
          <w:rFonts w:ascii="Garamond" w:hAnsi="Garamond" w:cs="Arial"/>
          <w:b/>
          <w:bCs/>
          <w:sz w:val="28"/>
          <w:szCs w:val="28"/>
        </w:rPr>
        <w:t>32</w:t>
      </w:r>
      <w:r>
        <w:rPr>
          <w:rFonts w:ascii="Garamond" w:hAnsi="Garamond" w:cs="Arial"/>
          <w:b/>
          <w:bCs/>
          <w:sz w:val="28"/>
          <w:szCs w:val="28"/>
        </w:rPr>
        <w:t>-202</w:t>
      </w:r>
      <w:r w:rsidR="00FC5111">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4E2E954" w:rsidR="008A6FC9" w:rsidRPr="000F115D"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F115D" w:rsidRPr="000F115D">
        <w:t>P25V00000</w:t>
      </w:r>
      <w:r w:rsidR="002876CC">
        <w:t>468</w:t>
      </w:r>
    </w:p>
    <w:p w14:paraId="10EDCF9A" w14:textId="713A07C4"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sidR="002876CC">
        <w:rPr>
          <w:rFonts w:ascii="Garamond" w:hAnsi="Garamond" w:cs="Arial"/>
          <w:sz w:val="20"/>
          <w:szCs w:val="20"/>
          <w:highlight w:val="yellow"/>
        </w:rPr>
        <w:t>DOPLNÍ DODAVATEL</w:t>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418FF2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FB338C">
        <w:rPr>
          <w:rFonts w:ascii="Garamond" w:hAnsi="Garamond"/>
          <w:sz w:val="20"/>
          <w:szCs w:val="20"/>
        </w:rPr>
        <w:t>Martinou Větrovskou</w:t>
      </w:r>
      <w:r w:rsidR="00640707">
        <w:rPr>
          <w:rFonts w:ascii="Garamond" w:hAnsi="Garamond"/>
          <w:sz w:val="20"/>
          <w:szCs w:val="20"/>
        </w:rPr>
        <w:t>, kvestor</w:t>
      </w:r>
      <w:r w:rsidR="00FB338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3A2F4C9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06848739"/>
    </w:p>
    <w:p w14:paraId="46EEEB61" w14:textId="16BF4A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65243594"/>
    </w:p>
    <w:p w14:paraId="56C8C047" w14:textId="629B714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20741942"/>
    </w:p>
    <w:p w14:paraId="6E854E0A" w14:textId="3277683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574704912"/>
    </w:p>
    <w:p w14:paraId="0B0FC534" w14:textId="7C2016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205EE32A"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02CE7BC5"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sidR="002876CC" w:rsidRPr="00D77E6A">
        <w:rPr>
          <w:rFonts w:ascii="Garamond" w:hAnsi="Garamond" w:cs="Arial"/>
          <w:sz w:val="20"/>
          <w:szCs w:val="20"/>
          <w:highlight w:val="yellow"/>
        </w:rPr>
        <w:t xml:space="preserve">DOPLNÍ </w:t>
      </w:r>
      <w:r w:rsidR="002876CC" w:rsidRPr="00B82C88">
        <w:rPr>
          <w:rFonts w:ascii="Garamond" w:hAnsi="Garamond" w:cs="Arial"/>
          <w:sz w:val="20"/>
          <w:szCs w:val="20"/>
          <w:highlight w:val="yellow"/>
        </w:rPr>
        <w:t>DODAVATEL</w:t>
      </w:r>
      <w:r w:rsidR="002876CC">
        <w:rPr>
          <w:rFonts w:ascii="Garamond" w:hAnsi="Garamond" w:cs="Arial"/>
          <w:sz w:val="20"/>
          <w:szCs w:val="20"/>
        </w:rPr>
        <w:t xml:space="preserve"> </w:t>
      </w:r>
      <w:permEnd w:id="788103030"/>
      <w:r>
        <w:rPr>
          <w:rFonts w:ascii="Garamond" w:hAnsi="Garamond" w:cs="Arial"/>
          <w:sz w:val="20"/>
          <w:szCs w:val="20"/>
        </w:rPr>
        <w:t>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6844B450" w:rsidR="008A6FC9" w:rsidRDefault="00640707">
            <w:pPr>
              <w:spacing w:after="0"/>
              <w:jc w:val="both"/>
              <w:rPr>
                <w:rFonts w:ascii="Garamond" w:hAnsi="Garamond"/>
                <w:sz w:val="20"/>
                <w:szCs w:val="20"/>
              </w:rPr>
            </w:pPr>
            <w:r>
              <w:rPr>
                <w:rFonts w:ascii="Garamond" w:hAnsi="Garamond"/>
                <w:sz w:val="20"/>
                <w:szCs w:val="20"/>
              </w:rPr>
              <w:t xml:space="preserve">Ing. </w:t>
            </w:r>
            <w:r w:rsidR="00FB338C">
              <w:rPr>
                <w:rFonts w:ascii="Garamond" w:hAnsi="Garamond"/>
                <w:sz w:val="20"/>
                <w:szCs w:val="20"/>
              </w:rPr>
              <w:t>Martina Větrovská</w:t>
            </w:r>
          </w:p>
          <w:p w14:paraId="7643D25A" w14:textId="098E9666" w:rsidR="008A6FC9" w:rsidRDefault="00640707">
            <w:pPr>
              <w:spacing w:after="0"/>
              <w:jc w:val="both"/>
              <w:rPr>
                <w:rFonts w:ascii="Garamond" w:hAnsi="Garamond"/>
                <w:sz w:val="20"/>
                <w:szCs w:val="20"/>
              </w:rPr>
            </w:pPr>
            <w:r>
              <w:rPr>
                <w:rFonts w:ascii="Garamond" w:hAnsi="Garamond"/>
                <w:sz w:val="20"/>
                <w:szCs w:val="20"/>
              </w:rPr>
              <w:t>kvestor</w:t>
            </w:r>
            <w:r w:rsidR="00FB338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4B2CDB2" w14:textId="77777777" w:rsidR="002876CC" w:rsidRDefault="007E7D43" w:rsidP="002876CC">
            <w:pPr>
              <w:spacing w:after="0"/>
              <w:jc w:val="both"/>
              <w:rPr>
                <w:rFonts w:ascii="Garamond" w:hAnsi="Garamond"/>
                <w:i/>
                <w:sz w:val="20"/>
                <w:szCs w:val="20"/>
              </w:rPr>
            </w:pPr>
            <w:r>
              <w:rPr>
                <w:rFonts w:ascii="Garamond" w:hAnsi="Garamond"/>
                <w:sz w:val="20"/>
                <w:szCs w:val="20"/>
              </w:rPr>
              <w:t>[</w:t>
            </w:r>
            <w:permStart w:id="1046755930" w:edGrp="everyone"/>
            <w:r w:rsidR="002876CC" w:rsidRPr="00D77E6A">
              <w:rPr>
                <w:rFonts w:ascii="Garamond" w:hAnsi="Garamond"/>
                <w:b/>
                <w:sz w:val="20"/>
                <w:szCs w:val="20"/>
                <w:highlight w:val="yellow"/>
              </w:rPr>
              <w:t xml:space="preserve">DOPLNÍ </w:t>
            </w:r>
            <w:r w:rsidR="002876CC" w:rsidRPr="00B82C88">
              <w:rPr>
                <w:rFonts w:ascii="Garamond" w:hAnsi="Garamond" w:cs="Arial"/>
                <w:b/>
                <w:sz w:val="20"/>
                <w:szCs w:val="20"/>
                <w:highlight w:val="yellow"/>
              </w:rPr>
              <w:t>DODAVATEL</w:t>
            </w:r>
            <w:r w:rsidR="002876CC">
              <w:rPr>
                <w:rFonts w:ascii="Garamond" w:hAnsi="Garamond"/>
                <w:sz w:val="20"/>
                <w:szCs w:val="20"/>
              </w:rPr>
              <w:t>]</w:t>
            </w:r>
          </w:p>
          <w:p w14:paraId="18231A44" w14:textId="77777777" w:rsidR="002876CC" w:rsidRDefault="002876CC" w:rsidP="002876CC">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r>
              <w:rPr>
                <w:rFonts w:ascii="Garamond" w:hAnsi="Garamond"/>
                <w:i/>
                <w:sz w:val="20"/>
                <w:szCs w:val="20"/>
              </w:rPr>
              <w:t xml:space="preserve"> </w:t>
            </w:r>
          </w:p>
          <w:permEnd w:id="1046755930"/>
          <w:p w14:paraId="276CC7A2" w14:textId="7C1DA3D5" w:rsidR="008A6FC9" w:rsidRDefault="007E7D43" w:rsidP="002876CC">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06EA2514" w14:textId="77777777"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2" w:name="_Hlk147326449"/>
      <w:r w:rsidRPr="00201CF5">
        <w:rPr>
          <w:rFonts w:ascii="Garamond" w:hAnsi="Garamond" w:cs="Arial"/>
          <w:sz w:val="20"/>
          <w:szCs w:val="20"/>
        </w:rPr>
        <w:t xml:space="preserve">vztahující se k předmětu </w:t>
      </w:r>
      <w:bookmarkEnd w:id="2"/>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F9D23F7" w14:textId="77777777"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D14E674" w14:textId="77777777" w:rsidR="002876CC"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08EB0DF" w14:textId="01AB8B8A" w:rsidR="002876CC" w:rsidRPr="00201CF5"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6D242138" w14:textId="77777777" w:rsidR="002876CC" w:rsidRPr="000652CA" w:rsidRDefault="002876CC" w:rsidP="002876C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A79A14F" w14:textId="544454B0" w:rsidR="002876CC" w:rsidRPr="002876CC" w:rsidRDefault="002876CC" w:rsidP="002876C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lastRenderedPageBreak/>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3B44" w14:textId="77777777" w:rsidR="002A40EE" w:rsidRDefault="002A40EE">
      <w:pPr>
        <w:spacing w:after="0" w:line="240" w:lineRule="auto"/>
      </w:pPr>
      <w:r>
        <w:separator/>
      </w:r>
    </w:p>
  </w:endnote>
  <w:endnote w:type="continuationSeparator" w:id="0">
    <w:p w14:paraId="6140BB5A" w14:textId="77777777" w:rsidR="002A40EE" w:rsidRDefault="002A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739A" w14:textId="77777777" w:rsidR="002A40EE" w:rsidRDefault="002A40EE">
      <w:pPr>
        <w:spacing w:after="0" w:line="240" w:lineRule="auto"/>
      </w:pPr>
      <w:r>
        <w:separator/>
      </w:r>
    </w:p>
  </w:footnote>
  <w:footnote w:type="continuationSeparator" w:id="0">
    <w:p w14:paraId="22063379" w14:textId="77777777" w:rsidR="002A40EE" w:rsidRDefault="002A4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62C01B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F115D" w:rsidRPr="000F115D">
      <w:t>P25V00000</w:t>
    </w:r>
    <w:r w:rsidR="002876CC">
      <w:t>468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6K0srUCM/h8OyHtjDgzWI8NxMJp/es7iIMo8HTzSEZRrSYnVY02h8w9LNhahTer1Vy79gQWfpdY2/Ssi528KJw==" w:salt="o2q99u18U4oxc4K+KoZa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B14F9"/>
    <w:rsid w:val="000E6261"/>
    <w:rsid w:val="000F115D"/>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876CC"/>
    <w:rsid w:val="002A0832"/>
    <w:rsid w:val="002A40EE"/>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B6659"/>
    <w:rsid w:val="006D7DE3"/>
    <w:rsid w:val="007056A1"/>
    <w:rsid w:val="00746D9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20AA"/>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65DC2"/>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02D8E"/>
    <w:rsid w:val="00C07257"/>
    <w:rsid w:val="00C106B9"/>
    <w:rsid w:val="00C42A00"/>
    <w:rsid w:val="00C542C0"/>
    <w:rsid w:val="00C7220D"/>
    <w:rsid w:val="00C83D22"/>
    <w:rsid w:val="00CC0813"/>
    <w:rsid w:val="00CD26EC"/>
    <w:rsid w:val="00CE07E4"/>
    <w:rsid w:val="00D107BD"/>
    <w:rsid w:val="00D3055D"/>
    <w:rsid w:val="00D457EC"/>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B338C"/>
    <w:rsid w:val="00FC49DA"/>
    <w:rsid w:val="00FC5111"/>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9</Pages>
  <Words>4073</Words>
  <Characters>24033</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124</cp:revision>
  <dcterms:created xsi:type="dcterms:W3CDTF">2021-01-28T09:46:00Z</dcterms:created>
  <dcterms:modified xsi:type="dcterms:W3CDTF">2025-08-08T09:25:00Z</dcterms:modified>
</cp:coreProperties>
</file>