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A29955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37CE3">
        <w:rPr>
          <w:rFonts w:ascii="Garamond" w:hAnsi="Garamond" w:cs="Arial"/>
          <w:b/>
          <w:bCs/>
          <w:sz w:val="28"/>
          <w:szCs w:val="28"/>
        </w:rPr>
        <w:t>1</w:t>
      </w:r>
      <w:r w:rsidR="00944D8C">
        <w:rPr>
          <w:rFonts w:ascii="Garamond" w:hAnsi="Garamond" w:cs="Arial"/>
          <w:b/>
          <w:bCs/>
          <w:sz w:val="28"/>
          <w:szCs w:val="28"/>
        </w:rPr>
        <w:t>7</w:t>
      </w:r>
      <w:r w:rsidR="00DC4C3E">
        <w:rPr>
          <w:rFonts w:ascii="Garamond" w:hAnsi="Garamond" w:cs="Arial"/>
          <w:b/>
          <w:bCs/>
          <w:sz w:val="28"/>
          <w:szCs w:val="28"/>
        </w:rPr>
        <w:t>-202</w:t>
      </w:r>
      <w:r w:rsidR="00BF6E71">
        <w:rPr>
          <w:rFonts w:ascii="Garamond" w:hAnsi="Garamond" w:cs="Arial"/>
          <w:b/>
          <w:bCs/>
          <w:sz w:val="28"/>
          <w:szCs w:val="28"/>
        </w:rPr>
        <w:t>5</w:t>
      </w:r>
      <w:r w:rsidR="005744D9">
        <w:rPr>
          <w:rFonts w:ascii="Garamond" w:hAnsi="Garamond" w:cs="Arial"/>
          <w:b/>
          <w:bCs/>
          <w:sz w:val="28"/>
          <w:szCs w:val="28"/>
        </w:rPr>
        <w:t xml:space="preserve"> </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1F0E950"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0E5E71">
        <w:rPr>
          <w:rFonts w:ascii="Garamond" w:hAnsi="Garamond" w:cs="Palatino Linotype"/>
          <w:color w:val="000000"/>
          <w:sz w:val="20"/>
          <w:szCs w:val="20"/>
        </w:rPr>
        <w:t>217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5D899F"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2759226" w14:textId="2D6CD61B" w:rsidR="000E5E71" w:rsidRDefault="000E5E71">
      <w:pPr>
        <w:spacing w:after="0"/>
        <w:ind w:left="567" w:hanging="567"/>
        <w:jc w:val="both"/>
        <w:rPr>
          <w:rFonts w:ascii="Garamond" w:hAnsi="Garamond"/>
          <w:sz w:val="20"/>
          <w:szCs w:val="20"/>
        </w:rPr>
      </w:pPr>
      <w:r>
        <w:rPr>
          <w:rFonts w:ascii="Garamond" w:hAnsi="Garamond"/>
          <w:sz w:val="20"/>
          <w:szCs w:val="20"/>
        </w:rPr>
        <w:t>Příloha č. 3 – Seznam poddodavatelů</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015F20E5" w:rsidR="00256696"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C877E5F" w14:textId="0B6CD690" w:rsidR="005B6F38" w:rsidRDefault="005B6F38" w:rsidP="005B6F38">
      <w:pPr>
        <w:pStyle w:val="Odstavecseseznamem"/>
        <w:numPr>
          <w:ilvl w:val="1"/>
          <w:numId w:val="4"/>
        </w:numPr>
        <w:ind w:left="567" w:hanging="567"/>
        <w:rPr>
          <w:rFonts w:ascii="Garamond" w:hAnsi="Garamond" w:cs="Arial"/>
          <w:sz w:val="20"/>
          <w:szCs w:val="20"/>
        </w:rPr>
      </w:pPr>
      <w:r w:rsidRPr="00D6741B">
        <w:rPr>
          <w:rFonts w:ascii="Garamond" w:hAnsi="Garamond" w:cs="Arial"/>
          <w:sz w:val="20"/>
          <w:szCs w:val="20"/>
        </w:rPr>
        <w:t>Dodavatel se zavazuje použít pro splnění Předmětu plnění pouze takové poddodavatele, kteří jsou uvedeni v příloze č. 4 Smlouvy, nebo takového poddodavatele, kterého předem (před plněním části Předmětu plnění, jež má být plněna takovým novým poddodavatelem) oznámil Objednateli a Objednatel současně takového poddodavatele předem schválil.</w:t>
      </w:r>
    </w:p>
    <w:p w14:paraId="69700C28" w14:textId="77777777" w:rsidR="005B6F38" w:rsidRPr="00D6741B" w:rsidRDefault="005B6F38" w:rsidP="005B6F38">
      <w:pPr>
        <w:pStyle w:val="Odstavecseseznamem"/>
        <w:ind w:left="567"/>
        <w:rPr>
          <w:rFonts w:ascii="Garamond" w:hAnsi="Garamond" w:cs="Arial"/>
          <w:sz w:val="20"/>
          <w:szCs w:val="20"/>
        </w:rPr>
      </w:pPr>
    </w:p>
    <w:p w14:paraId="026F6F7B" w14:textId="1DB8F8DD" w:rsidR="005B6F38" w:rsidRDefault="005B6F38" w:rsidP="005B6F38">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C2FECFB" w14:textId="29AC2962" w:rsidR="005B6F38" w:rsidRDefault="005B6F38" w:rsidP="005B6F38">
      <w:pPr>
        <w:pStyle w:val="Odstavecseseznamem"/>
        <w:numPr>
          <w:ilvl w:val="0"/>
          <w:numId w:val="24"/>
        </w:numPr>
        <w:spacing w:before="120" w:after="120"/>
        <w:jc w:val="both"/>
        <w:rPr>
          <w:rFonts w:ascii="Garamond" w:hAnsi="Garamond" w:cs="Arial"/>
          <w:sz w:val="20"/>
          <w:szCs w:val="20"/>
        </w:rPr>
      </w:pPr>
      <w:r>
        <w:rPr>
          <w:rFonts w:ascii="Garamond" w:hAnsi="Garamond" w:cs="Arial"/>
          <w:sz w:val="20"/>
          <w:szCs w:val="20"/>
        </w:rPr>
        <w:t>na níž dopadají mezinárodní sankce ve smyslu zák. č. 69/2006 Sb.</w:t>
      </w:r>
      <w:r w:rsidR="0049064A">
        <w:rPr>
          <w:rFonts w:ascii="Garamond" w:hAnsi="Garamond" w:cs="Arial"/>
          <w:sz w:val="20"/>
          <w:szCs w:val="20"/>
        </w:rPr>
        <w:t>;</w:t>
      </w:r>
    </w:p>
    <w:p w14:paraId="4CBC6693" w14:textId="1DB60D18" w:rsidR="0049064A" w:rsidRDefault="0049064A" w:rsidP="005B6F38">
      <w:pPr>
        <w:pStyle w:val="Odstavecseseznamem"/>
        <w:numPr>
          <w:ilvl w:val="0"/>
          <w:numId w:val="24"/>
        </w:numPr>
        <w:spacing w:before="120" w:after="120"/>
        <w:jc w:val="both"/>
        <w:rPr>
          <w:rFonts w:ascii="Garamond" w:hAnsi="Garamond" w:cs="Arial"/>
          <w:sz w:val="20"/>
          <w:szCs w:val="20"/>
        </w:rPr>
      </w:pPr>
      <w:r>
        <w:rPr>
          <w:rFonts w:ascii="Garamond" w:hAnsi="Garamond" w:cs="Arial"/>
          <w:sz w:val="20"/>
          <w:szCs w:val="20"/>
        </w:rPr>
        <w:t xml:space="preserve">která je ve střetu zájmů ve smyslu § 2 odst. 1 písm. c) </w:t>
      </w:r>
      <w:proofErr w:type="spellStart"/>
      <w:r>
        <w:rPr>
          <w:rFonts w:ascii="Garamond" w:hAnsi="Garamond" w:cs="Arial"/>
          <w:sz w:val="20"/>
          <w:szCs w:val="20"/>
        </w:rPr>
        <w:t>zák</w:t>
      </w:r>
      <w:proofErr w:type="spellEnd"/>
      <w:r>
        <w:rPr>
          <w:rFonts w:ascii="Garamond" w:hAnsi="Garamond" w:cs="Arial"/>
          <w:sz w:val="20"/>
          <w:szCs w:val="20"/>
        </w:rPr>
        <w:t xml:space="preserve"> č. 159/2006 Sb.; o střetu zájmů, nebo</w:t>
      </w:r>
    </w:p>
    <w:p w14:paraId="6C211706" w14:textId="7C063B38" w:rsidR="0049064A" w:rsidRPr="005B6F38" w:rsidRDefault="0049064A" w:rsidP="005B6F38">
      <w:pPr>
        <w:pStyle w:val="Odstavecseseznamem"/>
        <w:numPr>
          <w:ilvl w:val="0"/>
          <w:numId w:val="24"/>
        </w:numPr>
        <w:spacing w:before="120" w:after="120"/>
        <w:jc w:val="both"/>
        <w:rPr>
          <w:rFonts w:ascii="Garamond" w:hAnsi="Garamond" w:cs="Arial"/>
          <w:sz w:val="20"/>
          <w:szCs w:val="20"/>
        </w:rPr>
      </w:pPr>
      <w:r>
        <w:rPr>
          <w:rFonts w:ascii="Garamond" w:hAnsi="Garamond" w:cs="Arial"/>
          <w:sz w:val="20"/>
          <w:szCs w:val="20"/>
        </w:rPr>
        <w:t xml:space="preserve">která je daňovým rezidentem „nespolupracující jurisdikce“ dle </w:t>
      </w:r>
      <w:hyperlink r:id="rId11" w:history="1">
        <w:r w:rsidRPr="0049064A">
          <w:rPr>
            <w:rFonts w:ascii="Garamond" w:hAnsi="Garamond" w:cs="Arial"/>
            <w:color w:val="0000FF"/>
            <w:sz w:val="20"/>
            <w:szCs w:val="20"/>
            <w:u w:val="single"/>
          </w:rPr>
          <w:t>https://www.consilium.europa.eu/cs/policies/eu-list-of-non-cooperative-jurisdictions/</w:t>
        </w:r>
      </w:hyperlink>
      <w:r w:rsidRPr="0049064A">
        <w:rPr>
          <w:rFonts w:ascii="Garamond" w:hAnsi="Garamond" w:cs="Arial"/>
          <w:sz w:val="20"/>
          <w:szCs w:val="20"/>
        </w:rPr>
        <w:t>.</w:t>
      </w:r>
    </w:p>
    <w:p w14:paraId="397D9263" w14:textId="10FE620B" w:rsidR="005B6F38" w:rsidRPr="009C420B" w:rsidRDefault="005B6F38" w:rsidP="005B6F38">
      <w:pPr>
        <w:pStyle w:val="Odstavecseseznamem"/>
        <w:spacing w:before="120" w:after="120"/>
        <w:ind w:left="567"/>
        <w:contextualSpacing w:val="0"/>
        <w:jc w:val="both"/>
        <w:rPr>
          <w:rFonts w:ascii="Garamond" w:hAnsi="Garamond" w:cs="Arial"/>
          <w:sz w:val="20"/>
          <w:szCs w:val="20"/>
        </w:rPr>
      </w:pPr>
    </w:p>
    <w:p w14:paraId="01C0C774" w14:textId="5806D87F" w:rsidR="009B7BFC" w:rsidRDefault="009B7BFC" w:rsidP="009B7BFC">
      <w:pPr>
        <w:pStyle w:val="Odstavecseseznamem"/>
        <w:numPr>
          <w:ilvl w:val="1"/>
          <w:numId w:val="4"/>
        </w:numPr>
        <w:ind w:left="567" w:hanging="567"/>
        <w:rPr>
          <w:rFonts w:ascii="Garamond" w:hAnsi="Garamond" w:cs="Arial"/>
          <w:sz w:val="20"/>
          <w:szCs w:val="20"/>
        </w:rPr>
      </w:pPr>
      <w:r w:rsidRPr="00C6151A">
        <w:rPr>
          <w:rFonts w:ascii="Garamond" w:hAnsi="Garamond" w:cs="Arial"/>
          <w:sz w:val="20"/>
          <w:szCs w:val="20"/>
        </w:rPr>
        <w:t>Dodavatel je rovněž povinen zajistit, aby se v mezidobí mezi uzavřením Smlouvy a jejím úplným splněním nestal (ve smyslu definice dle Doporučení Komise (EU) 2020/1039) on, případně některý z jeho poddodavatelů, osobou, která:</w:t>
      </w:r>
    </w:p>
    <w:p w14:paraId="19AC6478" w14:textId="787E73BE" w:rsidR="0059298A" w:rsidRPr="0059298A" w:rsidRDefault="0059298A" w:rsidP="0059298A">
      <w:pPr>
        <w:pStyle w:val="Odstavecseseznamem"/>
        <w:numPr>
          <w:ilvl w:val="0"/>
          <w:numId w:val="25"/>
        </w:numPr>
        <w:rPr>
          <w:rFonts w:ascii="Garamond" w:hAnsi="Garamond" w:cs="Arial"/>
          <w:sz w:val="20"/>
          <w:szCs w:val="20"/>
        </w:rPr>
      </w:pPr>
      <w:r>
        <w:rPr>
          <w:rFonts w:ascii="Garamond" w:hAnsi="Garamond" w:cs="Arial"/>
          <w:sz w:val="20"/>
          <w:szCs w:val="20"/>
        </w:rPr>
        <w:t xml:space="preserve">je daňovým rezidentem v jurisdikcích uvedených na unijním seznamu nespolupracujících jurisdikcí </w:t>
      </w:r>
      <w:hyperlink r:id="rId12" w:history="1">
        <w:r w:rsidRPr="0059298A">
          <w:rPr>
            <w:rFonts w:ascii="Garamond" w:eastAsia="Times New Roman" w:hAnsi="Garamond" w:cs="Arial"/>
            <w:color w:val="0000FF"/>
            <w:sz w:val="20"/>
            <w:szCs w:val="20"/>
            <w:u w:val="single"/>
          </w:rPr>
          <w:t>https://www.consilium.europa.eu/cs/policies/eu-list-of-non-cooperative-jurisdictions/</w:t>
        </w:r>
      </w:hyperlink>
      <w:r w:rsidRPr="0059298A">
        <w:rPr>
          <w:rFonts w:ascii="Garamond" w:eastAsia="Times New Roman" w:hAnsi="Garamond" w:cs="Arial"/>
          <w:color w:val="0000FF"/>
          <w:sz w:val="20"/>
          <w:szCs w:val="20"/>
          <w:u w:val="single"/>
        </w:rPr>
        <w:t>)</w:t>
      </w:r>
      <w:r w:rsidRPr="0059298A">
        <w:rPr>
          <w:rFonts w:ascii="Garamond" w:eastAsia="Times New Roman" w:hAnsi="Garamond" w:cs="Times New Roman"/>
          <w:sz w:val="20"/>
          <w:szCs w:val="20"/>
        </w:rPr>
        <w:t>,</w:t>
      </w:r>
      <w:r>
        <w:rPr>
          <w:rFonts w:ascii="Garamond" w:eastAsia="Times New Roman" w:hAnsi="Garamond" w:cs="Times New Roman"/>
          <w:sz w:val="20"/>
          <w:szCs w:val="20"/>
        </w:rPr>
        <w:t xml:space="preserve"> nebo osobou zapsanou v obchodním rejstříku podle právních předpisů těchto jurisdikcí;</w:t>
      </w:r>
    </w:p>
    <w:p w14:paraId="262B29D3" w14:textId="7436D18C" w:rsidR="0059298A" w:rsidRPr="0059298A" w:rsidRDefault="0059298A" w:rsidP="0059298A">
      <w:pPr>
        <w:pStyle w:val="Odstavecseseznamem"/>
        <w:numPr>
          <w:ilvl w:val="0"/>
          <w:numId w:val="25"/>
        </w:numPr>
        <w:rPr>
          <w:rFonts w:ascii="Garamond" w:hAnsi="Garamond" w:cs="Arial"/>
          <w:sz w:val="20"/>
          <w:szCs w:val="20"/>
        </w:rPr>
      </w:pPr>
      <w:r>
        <w:rPr>
          <w:rFonts w:ascii="Garamond" w:eastAsia="Times New Roman" w:hAnsi="Garamond" w:cs="Times New Roman"/>
          <w:sz w:val="20"/>
          <w:szCs w:val="20"/>
        </w:rPr>
        <w:t>je přímo či nepřímo ovládána podílníky v jurisdikcích uvedených na unijním seznamu nespolupracujících jurisdikcí, a to až po úroveň skutečného majitele;</w:t>
      </w:r>
    </w:p>
    <w:p w14:paraId="7611D733" w14:textId="64C553C4" w:rsidR="0059298A" w:rsidRPr="0059298A" w:rsidRDefault="0059298A" w:rsidP="0059298A">
      <w:pPr>
        <w:pStyle w:val="Odstavecseseznamem"/>
        <w:numPr>
          <w:ilvl w:val="0"/>
          <w:numId w:val="25"/>
        </w:numPr>
        <w:rPr>
          <w:rFonts w:ascii="Garamond" w:hAnsi="Garamond" w:cs="Arial"/>
          <w:sz w:val="20"/>
          <w:szCs w:val="20"/>
        </w:rPr>
      </w:pPr>
      <w:r>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012B7B78" w14:textId="59C2D387" w:rsidR="0059298A" w:rsidRPr="0059298A" w:rsidRDefault="0059298A" w:rsidP="0059298A">
      <w:pPr>
        <w:pStyle w:val="Odstavecseseznamem"/>
        <w:numPr>
          <w:ilvl w:val="0"/>
          <w:numId w:val="25"/>
        </w:numPr>
        <w:rPr>
          <w:rFonts w:ascii="Garamond" w:hAnsi="Garamond" w:cs="Arial"/>
          <w:sz w:val="20"/>
          <w:szCs w:val="20"/>
        </w:rPr>
      </w:pPr>
      <w:r>
        <w:rPr>
          <w:rFonts w:ascii="Garamond" w:eastAsia="Times New Roman" w:hAnsi="Garamond" w:cs="Times New Roman"/>
          <w:sz w:val="20"/>
          <w:szCs w:val="20"/>
        </w:rPr>
        <w:t>sdílí vlastnictví s podniky v jurisdikcích uvedených na unijním seznamu nespolupracujících jurisdikcí.</w:t>
      </w:r>
    </w:p>
    <w:p w14:paraId="2239D25D" w14:textId="77777777" w:rsidR="0059298A" w:rsidRDefault="0059298A" w:rsidP="0059298A">
      <w:pPr>
        <w:pStyle w:val="Odstavecseseznamem"/>
        <w:ind w:left="927"/>
        <w:rPr>
          <w:rFonts w:ascii="Garamond" w:hAnsi="Garamond" w:cs="Arial"/>
          <w:sz w:val="20"/>
          <w:szCs w:val="20"/>
        </w:rPr>
      </w:pPr>
    </w:p>
    <w:p w14:paraId="7A94C344" w14:textId="0C2A009F" w:rsidR="0059298A" w:rsidRDefault="0059298A" w:rsidP="0059298A">
      <w:pPr>
        <w:pStyle w:val="Odstavecseseznamem"/>
        <w:numPr>
          <w:ilvl w:val="1"/>
          <w:numId w:val="4"/>
        </w:numPr>
        <w:ind w:left="567" w:hanging="567"/>
        <w:rPr>
          <w:rFonts w:ascii="Garamond" w:hAnsi="Garamond" w:cs="Arial"/>
          <w:sz w:val="20"/>
          <w:szCs w:val="20"/>
        </w:rPr>
      </w:pPr>
      <w:r w:rsidRPr="0059298A">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2669E04" w14:textId="77777777" w:rsidR="005A0B06" w:rsidRPr="0059298A" w:rsidRDefault="005A0B06" w:rsidP="005A0B06">
      <w:pPr>
        <w:pStyle w:val="Odstavecseseznamem"/>
        <w:ind w:left="567"/>
        <w:rPr>
          <w:rFonts w:ascii="Garamond" w:hAnsi="Garamond" w:cs="Arial"/>
          <w:sz w:val="20"/>
          <w:szCs w:val="20"/>
        </w:rPr>
      </w:pPr>
    </w:p>
    <w:p w14:paraId="4D14BCE0" w14:textId="104CDE99" w:rsidR="005A0B06" w:rsidRDefault="005A0B06" w:rsidP="005A0B06">
      <w:pPr>
        <w:pStyle w:val="Odstavecseseznamem"/>
        <w:numPr>
          <w:ilvl w:val="1"/>
          <w:numId w:val="4"/>
        </w:numPr>
        <w:ind w:left="567" w:hanging="567"/>
        <w:rPr>
          <w:rFonts w:ascii="Garamond" w:hAnsi="Garamond" w:cs="Arial"/>
          <w:sz w:val="20"/>
          <w:szCs w:val="20"/>
        </w:rPr>
      </w:pPr>
      <w:r w:rsidRPr="005A0B06">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EEA7ED6" w14:textId="77777777" w:rsidR="005A0B06" w:rsidRPr="005A0B06" w:rsidRDefault="005A0B06" w:rsidP="005A0B06">
      <w:pPr>
        <w:pStyle w:val="Odstavecseseznamem"/>
        <w:rPr>
          <w:rFonts w:ascii="Garamond" w:hAnsi="Garamond" w:cs="Arial"/>
          <w:sz w:val="20"/>
          <w:szCs w:val="20"/>
        </w:rPr>
      </w:pPr>
    </w:p>
    <w:p w14:paraId="7004457B" w14:textId="77777777" w:rsidR="005A0B06" w:rsidRPr="005A0B06" w:rsidRDefault="005A0B06" w:rsidP="005A0B06">
      <w:pPr>
        <w:pStyle w:val="Odstavecseseznamem"/>
        <w:ind w:left="567"/>
        <w:rPr>
          <w:rFonts w:ascii="Garamond" w:hAnsi="Garamond" w:cs="Arial"/>
          <w:sz w:val="20"/>
          <w:szCs w:val="20"/>
        </w:rPr>
      </w:pPr>
    </w:p>
    <w:p w14:paraId="64208225" w14:textId="77777777" w:rsidR="005A0B06" w:rsidRPr="005A0B06" w:rsidRDefault="005A0B06" w:rsidP="005A0B06">
      <w:pPr>
        <w:pStyle w:val="Odstavecseseznamem"/>
        <w:numPr>
          <w:ilvl w:val="1"/>
          <w:numId w:val="4"/>
        </w:numPr>
        <w:ind w:left="567" w:hanging="567"/>
        <w:rPr>
          <w:rFonts w:ascii="Garamond" w:hAnsi="Garamond" w:cs="Arial"/>
          <w:sz w:val="20"/>
          <w:szCs w:val="20"/>
        </w:rPr>
      </w:pPr>
      <w:r w:rsidRPr="005A0B06">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788985C7" w14:textId="428527AF" w:rsidR="000D2C53" w:rsidRDefault="000D2C53" w:rsidP="000D2C53">
      <w:pPr>
        <w:pStyle w:val="Odstavecseseznamem"/>
        <w:numPr>
          <w:ilvl w:val="1"/>
          <w:numId w:val="4"/>
        </w:numPr>
        <w:ind w:left="567" w:hanging="567"/>
        <w:rPr>
          <w:rFonts w:ascii="Garamond" w:hAnsi="Garamond" w:cs="Arial"/>
          <w:sz w:val="20"/>
          <w:szCs w:val="20"/>
        </w:rPr>
      </w:pPr>
      <w:r w:rsidRPr="000D2C53">
        <w:rPr>
          <w:rFonts w:ascii="Garamond" w:hAnsi="Garamond" w:cs="Arial"/>
          <w:sz w:val="20"/>
          <w:szCs w:val="20"/>
        </w:rPr>
        <w:lastRenderedPageBreak/>
        <w:t>Dodavatel se zavazuje nahradit škodu vzniklou Objednateli z porušení povinnosti Dodavatele dle čl. 4.8, 4.9 nebo 4.10, přičemž za škodu se považuje i krácení nebo neposkytnutí Dotace vzniklé v důsledku porušení povinnosti Dodavatele.</w:t>
      </w:r>
    </w:p>
    <w:p w14:paraId="09503666" w14:textId="77777777" w:rsidR="005B0817" w:rsidRPr="000D2C53" w:rsidRDefault="005B0817" w:rsidP="005B0817">
      <w:pPr>
        <w:pStyle w:val="Odstavecseseznamem"/>
        <w:ind w:left="567"/>
        <w:rPr>
          <w:rFonts w:ascii="Garamond" w:hAnsi="Garamond" w:cs="Arial"/>
          <w:sz w:val="20"/>
          <w:szCs w:val="20"/>
        </w:rPr>
      </w:pPr>
    </w:p>
    <w:p w14:paraId="6814A6E6" w14:textId="56CDA845" w:rsidR="005B0817" w:rsidRDefault="005B0817" w:rsidP="005B0817">
      <w:pPr>
        <w:pStyle w:val="Odstavecseseznamem"/>
        <w:numPr>
          <w:ilvl w:val="1"/>
          <w:numId w:val="4"/>
        </w:numPr>
        <w:ind w:left="567" w:hanging="567"/>
        <w:rPr>
          <w:rFonts w:ascii="Garamond" w:hAnsi="Garamond" w:cs="Arial"/>
          <w:sz w:val="20"/>
          <w:szCs w:val="20"/>
        </w:rPr>
      </w:pPr>
      <w:r w:rsidRPr="005B0817">
        <w:rPr>
          <w:rFonts w:ascii="Garamond" w:hAnsi="Garamond" w:cs="Arial"/>
          <w:sz w:val="20"/>
          <w:szCs w:val="20"/>
        </w:rPr>
        <w:t xml:space="preserve">Objednatel je oprávněn odstoupit od Smlouvy v případě porušení povinnosti Dodavatele dle čl. 4.8, 4.9 nebo 4.10. </w:t>
      </w:r>
    </w:p>
    <w:p w14:paraId="3C1401B9" w14:textId="77777777" w:rsidR="005B0817" w:rsidRPr="005B0817" w:rsidRDefault="005B0817" w:rsidP="005B0817">
      <w:pPr>
        <w:pStyle w:val="Odstavecseseznamem"/>
        <w:rPr>
          <w:rFonts w:ascii="Garamond" w:hAnsi="Garamond" w:cs="Arial"/>
          <w:sz w:val="20"/>
          <w:szCs w:val="20"/>
        </w:rPr>
      </w:pPr>
    </w:p>
    <w:p w14:paraId="2ABD5288" w14:textId="77777777" w:rsidR="005B0817" w:rsidRPr="005B0817" w:rsidRDefault="005B0817" w:rsidP="005B0817">
      <w:pPr>
        <w:pStyle w:val="Odstavecseseznamem"/>
        <w:ind w:left="567"/>
        <w:rPr>
          <w:rFonts w:ascii="Garamond" w:hAnsi="Garamond" w:cs="Arial"/>
          <w:sz w:val="20"/>
          <w:szCs w:val="20"/>
        </w:rPr>
      </w:pPr>
    </w:p>
    <w:p w14:paraId="7FD0E11B" w14:textId="77777777" w:rsidR="005B0817" w:rsidRPr="005B0817" w:rsidRDefault="005B0817" w:rsidP="005B0817">
      <w:pPr>
        <w:pStyle w:val="Odstavecseseznamem"/>
        <w:numPr>
          <w:ilvl w:val="1"/>
          <w:numId w:val="4"/>
        </w:numPr>
        <w:ind w:left="567" w:hanging="567"/>
        <w:rPr>
          <w:rFonts w:ascii="Garamond" w:hAnsi="Garamond" w:cs="Arial"/>
          <w:sz w:val="20"/>
          <w:szCs w:val="20"/>
        </w:rPr>
      </w:pPr>
      <w:r w:rsidRPr="005B0817">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0CEC02F9" w14:textId="77777777" w:rsidR="000A6A72" w:rsidRDefault="000A6A72" w:rsidP="005B0817">
      <w:pPr>
        <w:pStyle w:val="Odstavecseseznamem"/>
        <w:ind w:left="567"/>
        <w:rPr>
          <w:rFonts w:ascii="Garamond" w:hAnsi="Garamond" w:cs="Arial"/>
          <w:sz w:val="20"/>
          <w:szCs w:val="20"/>
        </w:rPr>
      </w:pP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lastRenderedPageBreak/>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87DA3" w14:textId="77777777" w:rsidR="00C92BAA" w:rsidRDefault="00C92BAA">
      <w:pPr>
        <w:spacing w:after="0" w:line="240" w:lineRule="auto"/>
      </w:pPr>
      <w:r>
        <w:separator/>
      </w:r>
    </w:p>
  </w:endnote>
  <w:endnote w:type="continuationSeparator" w:id="0">
    <w:p w14:paraId="08182023" w14:textId="77777777" w:rsidR="00C92BAA" w:rsidRDefault="00C92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8CD" w14:textId="4B753397" w:rsidR="00206A2A" w:rsidRDefault="00944D8C" w:rsidP="00D04D7F">
    <w:pPr>
      <w:pStyle w:val="Zpat"/>
      <w:jc w:val="center"/>
    </w:pPr>
    <w:r>
      <w:rPr>
        <w:noProof/>
      </w:rPr>
      <w:drawing>
        <wp:inline distT="0" distB="0" distL="0" distR="0" wp14:anchorId="404ED2BB" wp14:editId="0AD2939A">
          <wp:extent cx="6151245" cy="1152525"/>
          <wp:effectExtent l="0" t="0" r="190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11525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EBF0E" w14:textId="38D9D1BB" w:rsidR="00944D8C" w:rsidRDefault="00944D8C">
    <w:pPr>
      <w:pStyle w:val="Zpat"/>
    </w:pPr>
    <w:r>
      <w:rPr>
        <w:noProof/>
      </w:rPr>
      <w:drawing>
        <wp:inline distT="0" distB="0" distL="0" distR="0" wp14:anchorId="0FAA4621" wp14:editId="128CA670">
          <wp:extent cx="6151245" cy="1152525"/>
          <wp:effectExtent l="0" t="0" r="190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11525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23F72" w14:textId="77777777" w:rsidR="00C92BAA" w:rsidRDefault="00C92BAA">
      <w:pPr>
        <w:spacing w:after="0" w:line="240" w:lineRule="auto"/>
      </w:pPr>
      <w:r>
        <w:separator/>
      </w:r>
    </w:p>
  </w:footnote>
  <w:footnote w:type="continuationSeparator" w:id="0">
    <w:p w14:paraId="52728447" w14:textId="77777777" w:rsidR="00C92BAA" w:rsidRDefault="00C92BAA">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2CEE06AF" w:rsidR="006276F5" w:rsidRPr="006276F5" w:rsidRDefault="006276F5" w:rsidP="006276F5">
    <w:pPr>
      <w:spacing w:before="60" w:after="60"/>
      <w:jc w:val="right"/>
      <w:rPr>
        <w:rFonts w:ascii="Garamond" w:hAnsi="Garamond" w:cs="Palatino Linotype"/>
        <w:color w:val="000000"/>
      </w:rPr>
    </w:pPr>
  </w:p>
  <w:p w14:paraId="0EA0326F" w14:textId="2C94B12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0E5E71">
      <w:rPr>
        <w:rFonts w:ascii="Garamond" w:hAnsi="Garamond" w:cs="Palatino Linotype"/>
        <w:color w:val="000000"/>
      </w:rPr>
      <w:t>217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32643BDA"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6DD67CFD"/>
    <w:multiLevelType w:val="hybridMultilevel"/>
    <w:tmpl w:val="72BAE9E6"/>
    <w:lvl w:ilvl="0" w:tplc="34DA03A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D92B7E"/>
    <w:multiLevelType w:val="hybridMultilevel"/>
    <w:tmpl w:val="F9A61C30"/>
    <w:lvl w:ilvl="0" w:tplc="6E36A2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4"/>
  </w:num>
  <w:num w:numId="3">
    <w:abstractNumId w:val="6"/>
  </w:num>
  <w:num w:numId="4">
    <w:abstractNumId w:val="2"/>
  </w:num>
  <w:num w:numId="5">
    <w:abstractNumId w:val="5"/>
  </w:num>
  <w:num w:numId="6">
    <w:abstractNumId w:val="7"/>
  </w:num>
  <w:num w:numId="7">
    <w:abstractNumId w:val="17"/>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5"/>
  </w:num>
  <w:num w:numId="22">
    <w:abstractNumId w:val="0"/>
  </w:num>
  <w:num w:numId="23">
    <w:abstractNumId w:val="10"/>
  </w:num>
  <w:num w:numId="24">
    <w:abstractNumId w:val="1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nHFqpooOZBZyYW6+Ktgu+37Selt5cuYv0pgbT1Nk3ctm2UaZSAK0apJ+rm5qcGNDcT/KkhKnlQud6Ivss722A==" w:salt="UmsFR3wtFBfNbFcPLevE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428B"/>
    <w:rsid w:val="0009651E"/>
    <w:rsid w:val="000A17EF"/>
    <w:rsid w:val="000A2CEE"/>
    <w:rsid w:val="000A6A72"/>
    <w:rsid w:val="000B2939"/>
    <w:rsid w:val="000B2C33"/>
    <w:rsid w:val="000C009B"/>
    <w:rsid w:val="000D0D20"/>
    <w:rsid w:val="000D2C53"/>
    <w:rsid w:val="000E0552"/>
    <w:rsid w:val="000E5E71"/>
    <w:rsid w:val="000F16FF"/>
    <w:rsid w:val="000F6FDB"/>
    <w:rsid w:val="0010294B"/>
    <w:rsid w:val="001131A6"/>
    <w:rsid w:val="00113E28"/>
    <w:rsid w:val="00133F0F"/>
    <w:rsid w:val="001817E7"/>
    <w:rsid w:val="001D1B2E"/>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4713"/>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064A"/>
    <w:rsid w:val="00493257"/>
    <w:rsid w:val="00493653"/>
    <w:rsid w:val="004A3A99"/>
    <w:rsid w:val="004E2603"/>
    <w:rsid w:val="00501892"/>
    <w:rsid w:val="00502156"/>
    <w:rsid w:val="005205E6"/>
    <w:rsid w:val="00522E61"/>
    <w:rsid w:val="00542672"/>
    <w:rsid w:val="00547362"/>
    <w:rsid w:val="0056484B"/>
    <w:rsid w:val="00566470"/>
    <w:rsid w:val="005744D9"/>
    <w:rsid w:val="0059298A"/>
    <w:rsid w:val="005964FA"/>
    <w:rsid w:val="005A0B06"/>
    <w:rsid w:val="005B0817"/>
    <w:rsid w:val="005B09D6"/>
    <w:rsid w:val="005B6F38"/>
    <w:rsid w:val="005C6283"/>
    <w:rsid w:val="0062561F"/>
    <w:rsid w:val="006276F5"/>
    <w:rsid w:val="00637CE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A1260"/>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4D8C"/>
    <w:rsid w:val="0094514F"/>
    <w:rsid w:val="009559E2"/>
    <w:rsid w:val="00963638"/>
    <w:rsid w:val="00963E6C"/>
    <w:rsid w:val="0096725F"/>
    <w:rsid w:val="00980089"/>
    <w:rsid w:val="009805BF"/>
    <w:rsid w:val="009B1E8E"/>
    <w:rsid w:val="009B2820"/>
    <w:rsid w:val="009B74F0"/>
    <w:rsid w:val="009B7BFC"/>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C4FE9"/>
    <w:rsid w:val="00BD223F"/>
    <w:rsid w:val="00BD22C1"/>
    <w:rsid w:val="00BD25AB"/>
    <w:rsid w:val="00BD41DE"/>
    <w:rsid w:val="00BD4C33"/>
    <w:rsid w:val="00BD5AC1"/>
    <w:rsid w:val="00BE6D89"/>
    <w:rsid w:val="00BF6910"/>
    <w:rsid w:val="00BF6E71"/>
    <w:rsid w:val="00C047D8"/>
    <w:rsid w:val="00C061CE"/>
    <w:rsid w:val="00C1563B"/>
    <w:rsid w:val="00C276B7"/>
    <w:rsid w:val="00C6542A"/>
    <w:rsid w:val="00C67196"/>
    <w:rsid w:val="00C8373D"/>
    <w:rsid w:val="00C91F62"/>
    <w:rsid w:val="00C92BAA"/>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0B31"/>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02424"/>
    <w:rsid w:val="00F07273"/>
    <w:rsid w:val="00F1049B"/>
    <w:rsid w:val="00F15B95"/>
    <w:rsid w:val="00F311D8"/>
    <w:rsid w:val="00F33B73"/>
    <w:rsid w:val="00F400D2"/>
    <w:rsid w:val="00F47B3D"/>
    <w:rsid w:val="00F50F69"/>
    <w:rsid w:val="00F61236"/>
    <w:rsid w:val="00F63B23"/>
    <w:rsid w:val="00F64F3F"/>
    <w:rsid w:val="00F664A1"/>
    <w:rsid w:val="00F71530"/>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4104</Words>
  <Characters>24215</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89</cp:revision>
  <dcterms:created xsi:type="dcterms:W3CDTF">2023-01-20T12:01:00Z</dcterms:created>
  <dcterms:modified xsi:type="dcterms:W3CDTF">2025-04-22T11:40:00Z</dcterms:modified>
</cp:coreProperties>
</file>