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2D82B" w14:textId="77777777" w:rsidR="00EC1DAA" w:rsidRDefault="00EC1DAA" w:rsidP="00EC1DAA">
      <w:pPr>
        <w:pStyle w:val="Odstavecseseznamem"/>
        <w:numPr>
          <w:ilvl w:val="0"/>
          <w:numId w:val="2"/>
        </w:numPr>
        <w:ind w:left="426"/>
        <w:jc w:val="both"/>
        <w:rPr>
          <w:rFonts w:ascii="Arial" w:hAnsi="Arial" w:cs="Arial"/>
        </w:rPr>
      </w:pPr>
      <w:r w:rsidRPr="00606AAE">
        <w:rPr>
          <w:rFonts w:ascii="Arial" w:hAnsi="Arial" w:cs="Arial"/>
        </w:rPr>
        <w:t>Dodavatel žádá o objasnění čl. II. odst. 4 smlouvy o dílo, tedy jak je možné, že je koncipován v rozporu se ZZVZ, konkrétně § 36. Dle tohoto ustanovení odpovídá zadavatel za úplnost a správnost zadávacích podmínek, tedy i např. za kompletní výkaz výměr, který dodavatel v nabídce ocení, za všechny podklady, ale i místo plnění. Dodavatel jej nemůže měnit, doplňovat a z důvodu porovnatelnosti nabídek nemůže být ani cokoli domýšleno, zda na něco zadavatel nezapomněl. Pokud by se nechala volná ruka dodavatelům, pak by si každý domýšlel něco jiného a nabídky by nebyly porovnatelné. Aby nemohl být žádný dodavatel diskriminován, obdrží všichni za účelem vypracování nabídky totožné podklady, které mají v rámci jednotlivých položek ocenit, se kterými se mají seznámit. Zadavatel, vůči němu jeho projektant, odpovídá za úplnost a správnost každého dokumentu, každého řádku daného dokumentu. Pokud se následně ukáže, že zadavatel, jeho projektant, nepostihl vše, má dodavatel, tedy zhotovitel nárok na navýšení ceny a času. Zadavatel tak odpovídá za případné nedostatky zadávacích podkladů. Žádáme o nápravu.</w:t>
      </w:r>
    </w:p>
    <w:p w14:paraId="291BC363" w14:textId="77777777" w:rsidR="00EC1DAA" w:rsidRPr="00D50247" w:rsidRDefault="00EC1DAA" w:rsidP="00EC1DAA">
      <w:pPr>
        <w:pStyle w:val="Odstavecseseznamem"/>
        <w:ind w:left="426"/>
        <w:jc w:val="both"/>
        <w:rPr>
          <w:rFonts w:ascii="Arial" w:hAnsi="Arial" w:cs="Arial"/>
          <w:color w:val="FF0000"/>
        </w:rPr>
      </w:pPr>
      <w:r>
        <w:rPr>
          <w:rFonts w:ascii="Arial" w:hAnsi="Arial" w:cs="Arial"/>
          <w:color w:val="FF0000"/>
        </w:rPr>
        <w:t xml:space="preserve">Zadavatel má za to, že namítané ust. SOD je v souladu se ZZVZ. Zadavatel nepřenáší na dodavatele odpovědnost za správnost a úplnost zadávacích podmínek, ale stanoví mu odlišnou a dle zadavatele přiměřenou a důvodnou smluvní povinnost provést ve stanovené (přiměřené) lhůtě kontrolu podkladů pro provedení díla. </w:t>
      </w:r>
      <w:r w:rsidRPr="00D50247">
        <w:rPr>
          <w:rFonts w:ascii="Arial" w:hAnsi="Arial" w:cs="Arial"/>
          <w:color w:val="FF0000"/>
        </w:rPr>
        <w:t>Zadavatel nebude SOD v kontextu tohoto dotazu upravovat.</w:t>
      </w:r>
    </w:p>
    <w:p w14:paraId="292377AC" w14:textId="77777777" w:rsidR="00EC1DAA" w:rsidRDefault="00EC1DAA" w:rsidP="00EC1DAA">
      <w:pPr>
        <w:pStyle w:val="Odstavecseseznamem"/>
        <w:ind w:left="426"/>
        <w:jc w:val="both"/>
        <w:rPr>
          <w:rFonts w:ascii="Arial" w:hAnsi="Arial" w:cs="Arial"/>
        </w:rPr>
      </w:pPr>
    </w:p>
    <w:p w14:paraId="50B2B8A2" w14:textId="77777777" w:rsidR="00EC1DAA" w:rsidRDefault="00EC1DAA" w:rsidP="00EC1DAA">
      <w:pPr>
        <w:pStyle w:val="Odstavecseseznamem"/>
        <w:numPr>
          <w:ilvl w:val="0"/>
          <w:numId w:val="2"/>
        </w:numPr>
        <w:ind w:left="426"/>
        <w:jc w:val="both"/>
        <w:rPr>
          <w:rFonts w:ascii="Arial" w:hAnsi="Arial" w:cs="Arial"/>
        </w:rPr>
      </w:pPr>
      <w:r w:rsidRPr="00606AAE">
        <w:rPr>
          <w:rFonts w:ascii="Arial" w:hAnsi="Arial" w:cs="Arial"/>
        </w:rPr>
        <w:t>Dodavateli není jasné, co zadavatel míní tím, že ať objednatel případně přeruší dílo na více jak 21 dnů, pak se termín pro provedení díla posune jen max. o 21 dnů. Takové ujednání je zneužitelné, nemravné. Z jakého důvodu takto objednatel postupuje dle čl. III. odst. 6 smlouvy o dílo. Žádáme o nápravu, aby se termíny posouvaly o celou dobu existence překážky na straně objednatele.</w:t>
      </w:r>
    </w:p>
    <w:p w14:paraId="7361ECB3" w14:textId="77777777" w:rsidR="00EC1DAA" w:rsidRPr="00D50247" w:rsidRDefault="00EC1DAA" w:rsidP="00EC1DAA">
      <w:pPr>
        <w:pStyle w:val="Odstavecseseznamem"/>
        <w:ind w:left="426"/>
        <w:jc w:val="both"/>
        <w:rPr>
          <w:rFonts w:ascii="Arial" w:hAnsi="Arial" w:cs="Arial"/>
          <w:color w:val="FF0000"/>
        </w:rPr>
      </w:pPr>
      <w:r w:rsidRPr="00556125">
        <w:rPr>
          <w:rFonts w:ascii="Arial" w:hAnsi="Arial" w:cs="Arial"/>
          <w:color w:val="FF0000"/>
        </w:rPr>
        <w:t>Z</w:t>
      </w:r>
      <w:r>
        <w:rPr>
          <w:rFonts w:ascii="Arial" w:hAnsi="Arial" w:cs="Arial"/>
          <w:color w:val="FF0000"/>
        </w:rPr>
        <w:t xml:space="preserve">ejm. z provozních důvodů může na straně zadavatele vzniknou neočekávatelná potřeba přerušení provádění díla, zadavatel toto přerušení (z jeho potřeby a požadavku limituje na celkem 21 dnů, tj. zadavatel nebude moci požadovat, aby dodavatel přerušil provádění díla o více než 21 dnů). Pokud bude provádění díla přerušeno z jiných důvodů (typicky stanovených v občanském zákoníku), toto ust. se vůbec neaplikuje (resp. stanovená max. délka přerušení 21 dnů se v takových odlišných případech neuplatní). </w:t>
      </w:r>
      <w:r w:rsidRPr="00D50247">
        <w:rPr>
          <w:rFonts w:ascii="Arial" w:hAnsi="Arial" w:cs="Arial"/>
          <w:color w:val="FF0000"/>
        </w:rPr>
        <w:t>Zadavatel nebude SOD v kontextu tohoto dotazu upravovat.</w:t>
      </w:r>
    </w:p>
    <w:p w14:paraId="0EC284AB" w14:textId="77777777" w:rsidR="00EC1DAA" w:rsidRPr="007C63F4" w:rsidRDefault="00EC1DAA" w:rsidP="00EC1DAA">
      <w:pPr>
        <w:pStyle w:val="Odstavecseseznamem"/>
        <w:rPr>
          <w:rFonts w:ascii="Arial" w:hAnsi="Arial" w:cs="Arial"/>
        </w:rPr>
      </w:pPr>
    </w:p>
    <w:p w14:paraId="57684E7D" w14:textId="77777777" w:rsidR="00EC1DAA" w:rsidRDefault="00EC1DAA" w:rsidP="00EC1DAA">
      <w:pPr>
        <w:pStyle w:val="Odstavecseseznamem"/>
        <w:numPr>
          <w:ilvl w:val="0"/>
          <w:numId w:val="2"/>
        </w:numPr>
        <w:ind w:left="426"/>
        <w:jc w:val="both"/>
        <w:rPr>
          <w:rFonts w:ascii="Arial" w:hAnsi="Arial" w:cs="Arial"/>
        </w:rPr>
      </w:pPr>
      <w:r w:rsidRPr="007C63F4">
        <w:rPr>
          <w:rFonts w:ascii="Arial" w:hAnsi="Arial" w:cs="Arial"/>
        </w:rPr>
        <w:t>Objasní zadavatel, co se stane, když on sám bude klást překážky v plnění, či nastanou objektivní překážky pro prodloužení doby- přerušení, nutné vícepráce, které objektivně zdůvodní prodloužení termínu pro dokončení za 31. 12. 2026, ale zadavatel to ve smlouvě odmítá. Není jasné, co bude se smluvními pokutami např. Objednatel požaduje dokončení do konečného data, ale sám může bezmezně přerušovat dílo, ale rovněž tak mohou vzniknout nutné vícepráce.</w:t>
      </w:r>
    </w:p>
    <w:p w14:paraId="5797FE5B" w14:textId="77777777" w:rsidR="00EC1DAA" w:rsidRPr="00D50247" w:rsidRDefault="00EC1DAA" w:rsidP="00EC1DAA">
      <w:pPr>
        <w:pStyle w:val="Odstavecseseznamem"/>
        <w:ind w:left="426"/>
        <w:jc w:val="both"/>
        <w:rPr>
          <w:rFonts w:ascii="Arial" w:hAnsi="Arial" w:cs="Arial"/>
          <w:color w:val="FF0000"/>
        </w:rPr>
      </w:pPr>
      <w:r w:rsidRPr="00EF7D64">
        <w:rPr>
          <w:rFonts w:ascii="Arial" w:hAnsi="Arial" w:cs="Arial"/>
          <w:color w:val="FF0000"/>
        </w:rPr>
        <w:t>Zadavatel ve smlouvě neodmítá, resp. nevylučuje přerušení provádění díla z jakýchkoli zákonných důvo</w:t>
      </w:r>
      <w:r>
        <w:rPr>
          <w:rFonts w:ascii="Arial" w:hAnsi="Arial" w:cs="Arial"/>
          <w:color w:val="FF0000"/>
        </w:rPr>
        <w:t>d</w:t>
      </w:r>
      <w:r w:rsidRPr="00EF7D64">
        <w:rPr>
          <w:rFonts w:ascii="Arial" w:hAnsi="Arial" w:cs="Arial"/>
          <w:color w:val="FF0000"/>
        </w:rPr>
        <w:t>ů.</w:t>
      </w:r>
      <w:r>
        <w:rPr>
          <w:rFonts w:ascii="Arial" w:hAnsi="Arial" w:cs="Arial"/>
          <w:color w:val="FF0000"/>
        </w:rPr>
        <w:t xml:space="preserve"> Není pravdou, že by zadavatel mohl bezmezně přerušovat provádění díla (celková doba přerušení z provozních důvodů je limitována – viz odpověď na předchozí dotaz). </w:t>
      </w:r>
      <w:r w:rsidRPr="00D50247">
        <w:rPr>
          <w:rFonts w:ascii="Arial" w:hAnsi="Arial" w:cs="Arial"/>
          <w:color w:val="FF0000"/>
        </w:rPr>
        <w:t>Zadavatel nebude SOD v kontextu tohoto dotazu upravovat.</w:t>
      </w:r>
    </w:p>
    <w:p w14:paraId="7D05C6F1" w14:textId="77777777" w:rsidR="00EC1DAA" w:rsidRPr="007C63F4" w:rsidRDefault="00EC1DAA" w:rsidP="00EC1DAA">
      <w:pPr>
        <w:pStyle w:val="Odstavecseseznamem"/>
        <w:rPr>
          <w:rFonts w:ascii="Arial" w:hAnsi="Arial" w:cs="Arial"/>
        </w:rPr>
      </w:pPr>
    </w:p>
    <w:p w14:paraId="61ADFC3E" w14:textId="77777777" w:rsidR="00EC1DAA" w:rsidRDefault="00EC1DAA" w:rsidP="00EC1DAA">
      <w:pPr>
        <w:pStyle w:val="Odstavecseseznamem"/>
        <w:numPr>
          <w:ilvl w:val="0"/>
          <w:numId w:val="2"/>
        </w:numPr>
        <w:ind w:left="426"/>
        <w:jc w:val="both"/>
        <w:rPr>
          <w:rFonts w:ascii="Arial" w:hAnsi="Arial" w:cs="Arial"/>
        </w:rPr>
      </w:pPr>
      <w:r w:rsidRPr="007C63F4">
        <w:rPr>
          <w:rFonts w:ascii="Arial" w:hAnsi="Arial" w:cs="Arial"/>
        </w:rPr>
        <w:t xml:space="preserve">Dodavatel se táže zadavatele na čl. III. odst. 16 smlouvy o dílo, tedy jak má chápat toto ustanovení ve vztahu k milníkům, a to zvláště v kontextu čl. III. odst. 18, tedy, že v případě, kdy nastanou důvody uvedené ve smlouvě ospravedlňující prodloužení termínu pro dokončení díla, či rozpracovaného milníku dle odst. 19, nebudou se ostatní milníku posouvat? To nedává žádný smysl. Je jasné, že díky překážce, která odůvodňuje posun rozpracovaného milníku, se musí posunout i ostatní další milníky. Ty už nebude možné nikdy stihnout. Rovněž tak konečný termín, není možné požadovat absolutně nemožné. Je jasné, že v případě, kdy nastanou důvody pro posun konečného termínu, nelze pak </w:t>
      </w:r>
      <w:r w:rsidRPr="007C63F4">
        <w:rPr>
          <w:rFonts w:ascii="Arial" w:hAnsi="Arial" w:cs="Arial"/>
        </w:rPr>
        <w:lastRenderedPageBreak/>
        <w:t>uvést, že se stejně musí stihnout konečný termín v podobě 31. 12. 2026. Takový požadavek je nesplnitelný, tedy ne</w:t>
      </w:r>
      <w:r>
        <w:rPr>
          <w:rFonts w:ascii="Arial" w:hAnsi="Arial" w:cs="Arial"/>
        </w:rPr>
        <w:t>vy</w:t>
      </w:r>
      <w:r w:rsidRPr="007C63F4">
        <w:rPr>
          <w:rFonts w:ascii="Arial" w:hAnsi="Arial" w:cs="Arial"/>
        </w:rPr>
        <w:t>mahatelný. Pokud nastanou překážky v plnění, nelze stanovit bezmezně nějaký strop, rovněž tak neprodloužení milníků. Žádáme nápravu.</w:t>
      </w:r>
    </w:p>
    <w:p w14:paraId="6AB2B78E" w14:textId="77777777" w:rsidR="00EC1DAA" w:rsidRPr="00D50247" w:rsidRDefault="00EC1DAA" w:rsidP="00EC1DAA">
      <w:pPr>
        <w:pStyle w:val="Odstavecseseznamem"/>
        <w:ind w:left="426"/>
        <w:jc w:val="both"/>
        <w:rPr>
          <w:rFonts w:ascii="Arial" w:hAnsi="Arial" w:cs="Arial"/>
          <w:color w:val="FF0000"/>
        </w:rPr>
      </w:pPr>
      <w:r w:rsidRPr="00EF7D64">
        <w:rPr>
          <w:rFonts w:ascii="Arial" w:hAnsi="Arial" w:cs="Arial"/>
          <w:color w:val="FF0000"/>
        </w:rPr>
        <w:t>Dotaz je částečně nesrozumitelný.</w:t>
      </w:r>
      <w:r>
        <w:rPr>
          <w:rFonts w:ascii="Arial" w:hAnsi="Arial" w:cs="Arial"/>
          <w:color w:val="FF0000"/>
        </w:rPr>
        <w:t xml:space="preserve"> V každém případě termín pro provedení díla nemůže být dohodou smluvních stran (resp. automatickými mechanismy prodlužující dobu plnění sjednanými v SOD) prodloužen nad mezní termín stanovený poskytovatelem dotace (aktuálně 31.12.2026). Ve smyslu odst. 19 se v případě prodloužení celkového termínu (bude-li prodloužení možné, tj. nový termín nebude pozdější než 31.12.2026) prodlužují všechny dosud nerealizované milníky, tj. pokud by např. již v uplynutím termínu pro dokončení milníku č 1. došlo k prodloužení celkové doby pro realizaci díla o 1 měsíc (na celkem 26 měsíců), pak by se o 1 měsíc prodloužily všechny milníky. Odst. 18 je nutno vykládat, že tak, že zhotovitel není oprávněn provádění díla přerušit a je povinen stanovené (byť v souladu s odst. 19 rovněž případně prodloužené) milníky dodržet. SOD nijak nelimituje</w:t>
      </w:r>
      <w:r w:rsidRPr="00EF7D64">
        <w:rPr>
          <w:rFonts w:ascii="Arial" w:hAnsi="Arial" w:cs="Arial"/>
          <w:color w:val="FF0000"/>
        </w:rPr>
        <w:t>, resp. nevylučuje přerušení provádění díla z jakýchkoli zákonných důvo</w:t>
      </w:r>
      <w:r>
        <w:rPr>
          <w:rFonts w:ascii="Arial" w:hAnsi="Arial" w:cs="Arial"/>
          <w:color w:val="FF0000"/>
        </w:rPr>
        <w:t>d</w:t>
      </w:r>
      <w:r w:rsidRPr="00EF7D64">
        <w:rPr>
          <w:rFonts w:ascii="Arial" w:hAnsi="Arial" w:cs="Arial"/>
          <w:color w:val="FF0000"/>
        </w:rPr>
        <w:t>ů</w:t>
      </w:r>
      <w:r>
        <w:rPr>
          <w:rFonts w:ascii="Arial" w:hAnsi="Arial" w:cs="Arial"/>
          <w:color w:val="FF0000"/>
        </w:rPr>
        <w:t xml:space="preserve"> ani jejich důsledky. </w:t>
      </w:r>
      <w:r w:rsidRPr="00D50247">
        <w:rPr>
          <w:rFonts w:ascii="Arial" w:hAnsi="Arial" w:cs="Arial"/>
          <w:color w:val="FF0000"/>
        </w:rPr>
        <w:t>Zadavatel nebude SOD v kontextu tohoto dotazu upravovat.</w:t>
      </w:r>
    </w:p>
    <w:p w14:paraId="6538A50A" w14:textId="77777777" w:rsidR="00EC1DAA" w:rsidRPr="007C63F4" w:rsidRDefault="00EC1DAA" w:rsidP="00EC1DAA">
      <w:pPr>
        <w:pStyle w:val="Odstavecseseznamem"/>
        <w:rPr>
          <w:rFonts w:ascii="Arial" w:hAnsi="Arial" w:cs="Arial"/>
        </w:rPr>
      </w:pPr>
    </w:p>
    <w:p w14:paraId="49206466" w14:textId="77777777" w:rsidR="00EC1DAA" w:rsidRDefault="00EC1DAA" w:rsidP="00EC1DAA">
      <w:pPr>
        <w:pStyle w:val="Odstavecseseznamem"/>
        <w:numPr>
          <w:ilvl w:val="0"/>
          <w:numId w:val="2"/>
        </w:numPr>
        <w:ind w:left="426"/>
        <w:jc w:val="both"/>
        <w:rPr>
          <w:rFonts w:ascii="Arial" w:hAnsi="Arial" w:cs="Arial"/>
        </w:rPr>
      </w:pPr>
      <w:r w:rsidRPr="00AE4E29">
        <w:rPr>
          <w:rFonts w:ascii="Arial" w:hAnsi="Arial" w:cs="Arial"/>
        </w:rPr>
        <w:t>Žádáme o objasnění čl. IV. odst. 2 a 5 smlouvy o dílo, tedy z jakého důvodu není aplikováno zákonné ustanovení týkající se převzetí díla?  Po zadavateli požadujeme objasnění uvedeného ustanovení smlouvy, ve kterém je uvedeno oprávnění, nikoli povinnost objednatele k převzetí díla vykazujícím při jeho předání drobné vady či nedodělky. Dodavatel si je samozřejmě vědom dispozitivnosti ustanovení § 2628 OZ, nicméně zákonodárce měl velmi dobré důvody při zakotvení povinnosti objednatele k převzetí díla i v případě, že dílo vykazuje drobné vady či nedodělky, které nebrání užívání díla. Zadavatel není krácen na svých právech, neboť může dílo užívat, přičemž dodavatel je pod hrozbou sankcí vystaven povinnosti vady či nedodělky odstranit. Stavební dílo je komplexní a složité dílo, u kterého je velmi komplikované a téměř nemožné, aby bylo provedení absolutně bez vad. Proto uvedená a zákonem aprobovaná povinnost na straně objednatele k převzetí díla i v případě výskytu drobných vad či nedodělků. Upraví tak zadavatel napadená ustanovení tím způsobem, aby byla zakotvena povinnost objednatele k převzetí díla s drobnými vadami či nedodělky, respektive připuštěna zákonná úprava § 2628 OZ?</w:t>
      </w:r>
    </w:p>
    <w:p w14:paraId="7AB868E1" w14:textId="77777777" w:rsidR="00EC1DAA" w:rsidRPr="00D50247" w:rsidRDefault="00EC1DAA" w:rsidP="00EC1DAA">
      <w:pPr>
        <w:pStyle w:val="Odstavecseseznamem"/>
        <w:ind w:left="426"/>
        <w:jc w:val="both"/>
        <w:rPr>
          <w:rFonts w:ascii="Arial" w:hAnsi="Arial" w:cs="Arial"/>
          <w:color w:val="FF0000"/>
        </w:rPr>
      </w:pPr>
      <w:r>
        <w:rPr>
          <w:rFonts w:ascii="Arial" w:hAnsi="Arial" w:cs="Arial"/>
          <w:color w:val="FF0000"/>
        </w:rPr>
        <w:t>Namítaná ustanovení SOD jsou</w:t>
      </w:r>
      <w:r w:rsidRPr="00D50247">
        <w:rPr>
          <w:rFonts w:ascii="Arial" w:hAnsi="Arial" w:cs="Arial"/>
          <w:color w:val="FF0000"/>
        </w:rPr>
        <w:t xml:space="preserve"> dispozitivní</w:t>
      </w:r>
      <w:r>
        <w:rPr>
          <w:rFonts w:ascii="Arial" w:hAnsi="Arial" w:cs="Arial"/>
          <w:color w:val="FF0000"/>
        </w:rPr>
        <w:t>. Z</w:t>
      </w:r>
      <w:r w:rsidRPr="00D50247">
        <w:rPr>
          <w:rFonts w:ascii="Arial" w:hAnsi="Arial" w:cs="Arial"/>
          <w:color w:val="FF0000"/>
        </w:rPr>
        <w:t>adavatel je takto formuloval s ohledem na své potřeby a zkušenosti z minulosti. Zadavatel nebude SOD v kontextu tohoto dotazu upravovat.</w:t>
      </w:r>
    </w:p>
    <w:p w14:paraId="0F9C790D" w14:textId="77777777" w:rsidR="00EC1DAA" w:rsidRDefault="00EC1DAA" w:rsidP="00EC1DAA">
      <w:pPr>
        <w:pStyle w:val="Odstavecseseznamem"/>
        <w:ind w:left="426"/>
        <w:jc w:val="both"/>
        <w:rPr>
          <w:rFonts w:ascii="Arial" w:hAnsi="Arial" w:cs="Arial"/>
        </w:rPr>
      </w:pPr>
    </w:p>
    <w:p w14:paraId="00DC9E33" w14:textId="77777777" w:rsidR="00EC1DAA" w:rsidRDefault="00EC1DAA" w:rsidP="00EC1DAA">
      <w:pPr>
        <w:pStyle w:val="Odstavecseseznamem"/>
        <w:numPr>
          <w:ilvl w:val="0"/>
          <w:numId w:val="2"/>
        </w:numPr>
        <w:ind w:left="426"/>
        <w:jc w:val="both"/>
        <w:rPr>
          <w:rFonts w:ascii="Arial" w:hAnsi="Arial" w:cs="Arial"/>
        </w:rPr>
      </w:pPr>
      <w:r w:rsidRPr="00AE4E29">
        <w:rPr>
          <w:rFonts w:ascii="Arial" w:hAnsi="Arial" w:cs="Arial"/>
        </w:rPr>
        <w:t>Objasní zadavatel čl. VI. Odst. 2 smlouvy o dílo, tedy jak může žádat po zhotoviteli stvrzení, že cena obsahuje vše potřebné. To musí vědět jedině objednatel, neboť na základě jeho podkladů je sestavena cena díla oceněním všech položek. Tedy to, co zadavatel předložil, bylo oceněno, je součástí ceny díla. Nic více nemůže objednatel žádat, neboť pak by byly nabídky neporovnatelné, každý by se musel domýšlet něčeho jiného. Za úplnost zadání, ze kterého vychází cena díla, je odpovědný zadavatel v souladu s § 36 ZZVZ, je to tedy jeho odpovědnost. Žádáme o nápravu, neboť pokud se zjistí, že rozpočet byl od zadavatele neúplný, jedná se o vadu, za kterou zhotovitel neodpovídá a má nárok na náklady.</w:t>
      </w:r>
    </w:p>
    <w:p w14:paraId="2AADC007" w14:textId="77777777" w:rsidR="00EC1DAA" w:rsidRPr="00D50247" w:rsidRDefault="00EC1DAA" w:rsidP="00EC1DAA">
      <w:pPr>
        <w:pStyle w:val="Odstavecseseznamem"/>
        <w:ind w:left="426"/>
        <w:jc w:val="both"/>
        <w:rPr>
          <w:rFonts w:ascii="Arial" w:hAnsi="Arial" w:cs="Arial"/>
          <w:color w:val="FF0000"/>
        </w:rPr>
      </w:pPr>
      <w:r w:rsidRPr="00EF7D64">
        <w:rPr>
          <w:rFonts w:ascii="Arial" w:hAnsi="Arial" w:cs="Arial"/>
          <w:color w:val="FF0000"/>
        </w:rPr>
        <w:t>Dotaz je částečně nesrozumitelný.</w:t>
      </w:r>
      <w:r>
        <w:rPr>
          <w:rFonts w:ascii="Arial" w:hAnsi="Arial" w:cs="Arial"/>
          <w:color w:val="FF0000"/>
        </w:rPr>
        <w:t xml:space="preserve"> V každém případě nabídkovou cenu stanoví dodavatel, nikoli zadavatel. Nabídková cena se v souladu se zadávacími podmínkami stanoví oceněním soupisu prací, dodávek a služeb, tj. nabídková cena musí být stanovena v souladu s tímto soupisem, tj. každá položka soupisu musí být oceněna a zahrnovat vše co je pro realizaci předmětné položky nutné. </w:t>
      </w:r>
      <w:r w:rsidRPr="00D50247">
        <w:rPr>
          <w:rFonts w:ascii="Arial" w:hAnsi="Arial" w:cs="Arial"/>
          <w:color w:val="FF0000"/>
        </w:rPr>
        <w:t>Zadavatel nebude SOD v kontextu tohoto dotazu upravovat.</w:t>
      </w:r>
      <w:r>
        <w:rPr>
          <w:rFonts w:ascii="Arial" w:hAnsi="Arial" w:cs="Arial"/>
          <w:color w:val="FF0000"/>
        </w:rPr>
        <w:t xml:space="preserve"> </w:t>
      </w:r>
      <w:r w:rsidRPr="00D50247">
        <w:rPr>
          <w:rFonts w:ascii="Arial" w:hAnsi="Arial" w:cs="Arial"/>
          <w:color w:val="FF0000"/>
        </w:rPr>
        <w:t>Zadavatel nebude SOD v kontextu tohoto dotazu upravovat.</w:t>
      </w:r>
    </w:p>
    <w:p w14:paraId="66AC9A8B" w14:textId="77777777" w:rsidR="00EC1DAA" w:rsidRPr="00D50247" w:rsidRDefault="00EC1DAA" w:rsidP="00EC1DAA">
      <w:pPr>
        <w:pStyle w:val="Odstavecseseznamem"/>
        <w:ind w:left="426"/>
        <w:jc w:val="both"/>
        <w:rPr>
          <w:rFonts w:ascii="Arial" w:hAnsi="Arial" w:cs="Arial"/>
          <w:color w:val="FF0000"/>
        </w:rPr>
      </w:pPr>
    </w:p>
    <w:p w14:paraId="06B1AF36" w14:textId="77777777" w:rsidR="00EC1DAA" w:rsidRDefault="00EC1DAA" w:rsidP="00EC1DAA">
      <w:pPr>
        <w:pStyle w:val="Odstavecseseznamem"/>
        <w:ind w:left="426"/>
        <w:jc w:val="both"/>
        <w:rPr>
          <w:rFonts w:ascii="Arial" w:hAnsi="Arial" w:cs="Arial"/>
        </w:rPr>
      </w:pPr>
    </w:p>
    <w:p w14:paraId="699B6B34" w14:textId="77777777" w:rsidR="00EC1DAA" w:rsidRDefault="00EC1DAA" w:rsidP="00EC1DAA">
      <w:pPr>
        <w:pStyle w:val="Odstavecseseznamem"/>
        <w:numPr>
          <w:ilvl w:val="0"/>
          <w:numId w:val="2"/>
        </w:numPr>
        <w:ind w:left="426"/>
        <w:jc w:val="both"/>
        <w:rPr>
          <w:rFonts w:ascii="Arial" w:hAnsi="Arial" w:cs="Arial"/>
        </w:rPr>
      </w:pPr>
      <w:r w:rsidRPr="00AE4E29">
        <w:rPr>
          <w:rFonts w:ascii="Arial" w:hAnsi="Arial" w:cs="Arial"/>
        </w:rPr>
        <w:t>Dodavatel žádá o objasnění čl. XIV. odst. 3 smlouvy o dílo, tedy jak je možné, že je koncipován v rozporu se ZZVZ, konkrétně § 36. Dle tohoto ustanovení odpovídá zadavatel za úplnost a správnost zadávacích podmínek. Aby nemohl být žádný dodavatel diskriminován, obdrží všichni za účelem vypracování nabídky totožné podklady, které mají v rámci jednotlivých položek ocenit. Zadavatel, vůči němu jeho projektant, odpovídá za úplnost a správnost každého dokumentu, každého řádku daného dokumentu. Pokud se následně ukáže, že zadavatel, jeho projektant, nepostihl vše, má dodavatel, tedy zhotovitel nárok na navýšení ceny a času. Zadavatel tak odpovídá za případné nedostatky zadávacích podkladů.  Zadavatel tímto postupem jednoznačně porušuje zákon.</w:t>
      </w:r>
    </w:p>
    <w:p w14:paraId="0A6C99C3" w14:textId="707D8203" w:rsidR="00EC1DAA" w:rsidRPr="00DE00F9" w:rsidRDefault="00EC1DAA" w:rsidP="00EC1DAA">
      <w:pPr>
        <w:pStyle w:val="Odstavecseseznamem"/>
        <w:ind w:left="426"/>
        <w:jc w:val="both"/>
        <w:rPr>
          <w:rFonts w:ascii="Arial" w:hAnsi="Arial" w:cs="Arial"/>
          <w:color w:val="FF0000"/>
        </w:rPr>
      </w:pPr>
      <w:r w:rsidRPr="00DE00F9">
        <w:rPr>
          <w:rFonts w:ascii="Arial" w:hAnsi="Arial" w:cs="Arial"/>
          <w:color w:val="FF0000"/>
        </w:rPr>
        <w:t xml:space="preserve">Zadavatel </w:t>
      </w:r>
      <w:r>
        <w:rPr>
          <w:rFonts w:ascii="Arial" w:hAnsi="Arial" w:cs="Arial"/>
          <w:color w:val="FF0000"/>
        </w:rPr>
        <w:t xml:space="preserve">namítané ust. </w:t>
      </w:r>
      <w:r w:rsidRPr="00DE00F9">
        <w:rPr>
          <w:rFonts w:ascii="Arial" w:hAnsi="Arial" w:cs="Arial"/>
          <w:color w:val="FF0000"/>
        </w:rPr>
        <w:t xml:space="preserve">XIV. odst. 3 SOD </w:t>
      </w:r>
      <w:r>
        <w:rPr>
          <w:rFonts w:ascii="Arial" w:hAnsi="Arial" w:cs="Arial"/>
          <w:color w:val="FF0000"/>
        </w:rPr>
        <w:t>vypouští. Ust. čl. II. odst. 4 SOD řeší stejnou problematiku odlišně, resp. komplexněji (</w:t>
      </w:r>
      <w:r w:rsidR="00C426EF">
        <w:rPr>
          <w:rFonts w:ascii="Arial" w:hAnsi="Arial" w:cs="Arial"/>
          <w:color w:val="FF0000"/>
        </w:rPr>
        <w:t>z</w:t>
      </w:r>
      <w:r>
        <w:rPr>
          <w:rFonts w:ascii="Arial" w:hAnsi="Arial" w:cs="Arial"/>
          <w:color w:val="FF0000"/>
        </w:rPr>
        <w:t>adavatel nahrazuje na profilu zadavatele původní závazný návrh smlouvy akt. verzí)</w:t>
      </w:r>
      <w:r w:rsidR="00DE66B9">
        <w:rPr>
          <w:rFonts w:ascii="Arial" w:hAnsi="Arial" w:cs="Arial"/>
          <w:color w:val="FF0000"/>
        </w:rPr>
        <w:t>.</w:t>
      </w:r>
    </w:p>
    <w:p w14:paraId="03538896" w14:textId="77777777" w:rsidR="00EC1DAA" w:rsidRPr="008574A1" w:rsidRDefault="00EC1DAA" w:rsidP="00EC1DAA">
      <w:pPr>
        <w:pStyle w:val="Odstavecseseznamem"/>
        <w:rPr>
          <w:rFonts w:ascii="Arial" w:hAnsi="Arial" w:cs="Arial"/>
        </w:rPr>
      </w:pPr>
    </w:p>
    <w:p w14:paraId="36ABA58E" w14:textId="01194C6F" w:rsidR="00EC1DAA" w:rsidRDefault="00EC1DAA" w:rsidP="00EC1DAA">
      <w:pPr>
        <w:pStyle w:val="Odstavecseseznamem"/>
        <w:numPr>
          <w:ilvl w:val="0"/>
          <w:numId w:val="2"/>
        </w:numPr>
        <w:ind w:left="426"/>
        <w:jc w:val="both"/>
        <w:rPr>
          <w:rFonts w:ascii="Arial" w:hAnsi="Arial" w:cs="Arial"/>
        </w:rPr>
      </w:pPr>
      <w:r w:rsidRPr="008574A1">
        <w:rPr>
          <w:rFonts w:ascii="Arial" w:hAnsi="Arial" w:cs="Arial"/>
        </w:rPr>
        <w:t>Dodavatel žádá o objasnění a úpravu čl. VII. odst. 3. smlouvy, který nerozlišuje záruční dobu na obvyklých 6 měsíců na prvky s krátkou živostností (např. žárovky), 24 měsíců na mechanické či technologické prvky a 60 měsíců na zbytek částí díla. Dle názoru dodavatele by dané ustanovení smlouvy v souladu se zásadou přiměřenosti (a tedy v souladu s § 6 ZZVZ) a hospodárnosti mělo zohledňovat fakt, že dodavateli bude třetími osobami poskytnuta záruka na plnění pouze v minimální zákonné výši či v obvyklé výši. Dodavatel tak má za to, že by dané ustanovení smlouvy mělo být v souladu se zásadou přiměřenosti a hospodárnosti koncipováno tak, že zhotovitel poskytne objednateli záruku 60 měsíců pouze na stavební část díla, 6 měsíců na prvky s krátkou živostností a 24 měsíců na zbylé části díla. V opačném případě bude muset každý dodavatel navýšit nabídkovou cenu o určitou částku, kterou vyhradí na záruční opravy, což nutně vede k prodražení veřejné zakázky. Předmětná koncepce daného ustanovení smlouvy je tak nepřiměřená, nehospodárná a navíc neefektivní.</w:t>
      </w:r>
    </w:p>
    <w:p w14:paraId="0AA41718" w14:textId="2F2FCFE0" w:rsidR="00DE66B9" w:rsidRPr="00DE00F9" w:rsidRDefault="00DE66B9" w:rsidP="00DE66B9">
      <w:pPr>
        <w:pStyle w:val="Odstavecseseznamem"/>
        <w:ind w:left="426"/>
        <w:jc w:val="both"/>
        <w:rPr>
          <w:rFonts w:ascii="Arial" w:hAnsi="Arial" w:cs="Arial"/>
          <w:color w:val="FF0000"/>
        </w:rPr>
      </w:pPr>
      <w:r w:rsidRPr="00DE00F9">
        <w:rPr>
          <w:rFonts w:ascii="Arial" w:hAnsi="Arial" w:cs="Arial"/>
          <w:color w:val="FF0000"/>
        </w:rPr>
        <w:t xml:space="preserve">Zadavatel </w:t>
      </w:r>
      <w:r>
        <w:rPr>
          <w:rFonts w:ascii="Arial" w:hAnsi="Arial" w:cs="Arial"/>
          <w:color w:val="FF0000"/>
        </w:rPr>
        <w:t xml:space="preserve">namítané ust. </w:t>
      </w:r>
      <w:r w:rsidRPr="00DE00F9">
        <w:rPr>
          <w:rFonts w:ascii="Arial" w:hAnsi="Arial" w:cs="Arial"/>
          <w:color w:val="FF0000"/>
        </w:rPr>
        <w:t>V</w:t>
      </w:r>
      <w:r>
        <w:rPr>
          <w:rFonts w:ascii="Arial" w:hAnsi="Arial" w:cs="Arial"/>
          <w:color w:val="FF0000"/>
        </w:rPr>
        <w:t>II</w:t>
      </w:r>
      <w:r w:rsidRPr="00DE00F9">
        <w:rPr>
          <w:rFonts w:ascii="Arial" w:hAnsi="Arial" w:cs="Arial"/>
          <w:color w:val="FF0000"/>
        </w:rPr>
        <w:t xml:space="preserve">. odst. 3 SOD </w:t>
      </w:r>
      <w:r>
        <w:rPr>
          <w:rFonts w:ascii="Arial" w:hAnsi="Arial" w:cs="Arial"/>
          <w:color w:val="FF0000"/>
        </w:rPr>
        <w:t>v návaznosti na položený dotaz částečně upravuje</w:t>
      </w:r>
      <w:r w:rsidR="002904DD">
        <w:rPr>
          <w:rFonts w:ascii="Arial" w:hAnsi="Arial" w:cs="Arial"/>
          <w:color w:val="FF0000"/>
        </w:rPr>
        <w:t>, blíže viz revidovaná SOD (</w:t>
      </w:r>
      <w:r w:rsidR="00C426EF">
        <w:rPr>
          <w:rFonts w:ascii="Arial" w:hAnsi="Arial" w:cs="Arial"/>
          <w:color w:val="FF0000"/>
        </w:rPr>
        <w:t>z</w:t>
      </w:r>
      <w:r>
        <w:rPr>
          <w:rFonts w:ascii="Arial" w:hAnsi="Arial" w:cs="Arial"/>
          <w:color w:val="FF0000"/>
        </w:rPr>
        <w:t>adavatel nahrazuje na profilu zadavatele původní závazný návrh smlouvy akt. verzí)</w:t>
      </w:r>
      <w:r>
        <w:rPr>
          <w:rFonts w:ascii="Arial" w:hAnsi="Arial" w:cs="Arial"/>
          <w:color w:val="FF0000"/>
        </w:rPr>
        <w:t>.</w:t>
      </w:r>
    </w:p>
    <w:p w14:paraId="18A1F41E" w14:textId="77777777" w:rsidR="00BA2BBD" w:rsidRDefault="005A5F20">
      <w:pPr>
        <w:numPr>
          <w:ilvl w:val="0"/>
          <w:numId w:val="1"/>
        </w:numPr>
        <w:pBdr>
          <w:top w:val="nil"/>
          <w:left w:val="nil"/>
          <w:bottom w:val="nil"/>
          <w:right w:val="nil"/>
          <w:between w:val="nil"/>
        </w:pBdr>
        <w:ind w:left="426"/>
      </w:pPr>
      <w:r>
        <w:rPr>
          <w:rFonts w:ascii="Arial" w:eastAsia="Arial" w:hAnsi="Arial" w:cs="Arial"/>
          <w:color w:val="000000"/>
        </w:rPr>
        <w:t>Prosíme o doplnění specifikace k položce v části areálová kanalizace:</w:t>
      </w:r>
    </w:p>
    <w:tbl>
      <w:tblPr>
        <w:tblStyle w:val="a"/>
        <w:tblW w:w="9738" w:type="dxa"/>
        <w:tblInd w:w="0" w:type="dxa"/>
        <w:tblLayout w:type="fixed"/>
        <w:tblLook w:val="0400" w:firstRow="0" w:lastRow="0" w:firstColumn="0" w:lastColumn="0" w:noHBand="0" w:noVBand="1"/>
      </w:tblPr>
      <w:tblGrid>
        <w:gridCol w:w="388"/>
        <w:gridCol w:w="407"/>
        <w:gridCol w:w="1347"/>
        <w:gridCol w:w="6039"/>
        <w:gridCol w:w="620"/>
        <w:gridCol w:w="937"/>
      </w:tblGrid>
      <w:tr w:rsidR="00BA2BBD" w14:paraId="3C6C39FA" w14:textId="77777777">
        <w:trPr>
          <w:trHeight w:val="288"/>
        </w:trPr>
        <w:tc>
          <w:tcPr>
            <w:tcW w:w="38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1EE6F0" w14:textId="77777777" w:rsidR="00BA2BBD" w:rsidRDefault="005A5F20">
            <w:pPr>
              <w:widowControl w:val="0"/>
              <w:spacing w:after="0" w:line="240" w:lineRule="auto"/>
              <w:jc w:val="right"/>
            </w:pPr>
            <w:r>
              <w:rPr>
                <w:rFonts w:ascii="Arial CE" w:eastAsia="Arial CE" w:hAnsi="Arial CE" w:cs="Arial CE"/>
                <w:sz w:val="16"/>
                <w:szCs w:val="16"/>
              </w:rPr>
              <w:t>52</w:t>
            </w:r>
          </w:p>
        </w:tc>
        <w:tc>
          <w:tcPr>
            <w:tcW w:w="407" w:type="dxa"/>
            <w:tcBorders>
              <w:top w:val="single" w:sz="4" w:space="0" w:color="000000"/>
              <w:bottom w:val="single" w:sz="4" w:space="0" w:color="000000"/>
              <w:right w:val="single" w:sz="4" w:space="0" w:color="000000"/>
            </w:tcBorders>
            <w:shd w:val="clear" w:color="auto" w:fill="auto"/>
            <w:vAlign w:val="bottom"/>
          </w:tcPr>
          <w:p w14:paraId="748E35F7" w14:textId="77777777" w:rsidR="00BA2BBD" w:rsidRDefault="005A5F20">
            <w:pPr>
              <w:widowControl w:val="0"/>
              <w:spacing w:after="0" w:line="240" w:lineRule="auto"/>
            </w:pPr>
            <w:r>
              <w:rPr>
                <w:rFonts w:ascii="Arial CE" w:eastAsia="Arial CE" w:hAnsi="Arial CE" w:cs="Arial CE"/>
                <w:sz w:val="16"/>
                <w:szCs w:val="16"/>
              </w:rPr>
              <w:t>871</w:t>
            </w:r>
          </w:p>
        </w:tc>
        <w:tc>
          <w:tcPr>
            <w:tcW w:w="1347" w:type="dxa"/>
            <w:tcBorders>
              <w:top w:val="single" w:sz="4" w:space="0" w:color="000000"/>
              <w:bottom w:val="single" w:sz="4" w:space="0" w:color="000000"/>
              <w:right w:val="single" w:sz="4" w:space="0" w:color="000000"/>
            </w:tcBorders>
            <w:shd w:val="clear" w:color="auto" w:fill="auto"/>
            <w:vAlign w:val="bottom"/>
          </w:tcPr>
          <w:p w14:paraId="0EB92817" w14:textId="77777777" w:rsidR="00BA2BBD" w:rsidRDefault="005A5F20">
            <w:pPr>
              <w:widowControl w:val="0"/>
              <w:spacing w:after="0" w:line="240" w:lineRule="auto"/>
            </w:pPr>
            <w:r>
              <w:rPr>
                <w:rFonts w:ascii="Arial CE" w:eastAsia="Arial CE" w:hAnsi="Arial CE" w:cs="Arial CE"/>
                <w:sz w:val="16"/>
                <w:szCs w:val="16"/>
              </w:rPr>
              <w:t>871999633 SPC</w:t>
            </w:r>
          </w:p>
        </w:tc>
        <w:tc>
          <w:tcPr>
            <w:tcW w:w="6039" w:type="dxa"/>
            <w:tcBorders>
              <w:top w:val="single" w:sz="4" w:space="0" w:color="000000"/>
              <w:bottom w:val="single" w:sz="4" w:space="0" w:color="000000"/>
              <w:right w:val="single" w:sz="4" w:space="0" w:color="000000"/>
            </w:tcBorders>
            <w:shd w:val="clear" w:color="auto" w:fill="auto"/>
            <w:vAlign w:val="bottom"/>
          </w:tcPr>
          <w:p w14:paraId="7043A86F" w14:textId="77777777" w:rsidR="00BA2BBD" w:rsidRDefault="005A5F20">
            <w:pPr>
              <w:widowControl w:val="0"/>
              <w:spacing w:after="0" w:line="240" w:lineRule="auto"/>
            </w:pPr>
            <w:r>
              <w:rPr>
                <w:rFonts w:ascii="Arial CE" w:eastAsia="Arial CE" w:hAnsi="Arial CE" w:cs="Arial CE"/>
                <w:sz w:val="16"/>
                <w:szCs w:val="16"/>
              </w:rPr>
              <w:t>D+M Ponorné čerpadlo - Specifikace dle PD</w:t>
            </w:r>
          </w:p>
        </w:tc>
        <w:tc>
          <w:tcPr>
            <w:tcW w:w="620" w:type="dxa"/>
            <w:tcBorders>
              <w:top w:val="single" w:sz="4" w:space="0" w:color="000000"/>
              <w:bottom w:val="single" w:sz="4" w:space="0" w:color="000000"/>
              <w:right w:val="single" w:sz="4" w:space="0" w:color="000000"/>
            </w:tcBorders>
            <w:shd w:val="clear" w:color="auto" w:fill="auto"/>
            <w:vAlign w:val="bottom"/>
          </w:tcPr>
          <w:p w14:paraId="6EA19F5C" w14:textId="77777777" w:rsidR="00BA2BBD" w:rsidRDefault="005A5F20">
            <w:pPr>
              <w:widowControl w:val="0"/>
              <w:spacing w:after="0" w:line="240" w:lineRule="auto"/>
            </w:pPr>
            <w:r>
              <w:rPr>
                <w:rFonts w:ascii="Arial CE" w:eastAsia="Arial CE" w:hAnsi="Arial CE" w:cs="Arial CE"/>
                <w:sz w:val="16"/>
                <w:szCs w:val="16"/>
              </w:rPr>
              <w:t>kus</w:t>
            </w:r>
          </w:p>
        </w:tc>
        <w:tc>
          <w:tcPr>
            <w:tcW w:w="937" w:type="dxa"/>
            <w:tcBorders>
              <w:top w:val="single" w:sz="4" w:space="0" w:color="000000"/>
              <w:bottom w:val="single" w:sz="4" w:space="0" w:color="000000"/>
              <w:right w:val="single" w:sz="4" w:space="0" w:color="000000"/>
            </w:tcBorders>
            <w:shd w:val="clear" w:color="auto" w:fill="auto"/>
            <w:vAlign w:val="bottom"/>
          </w:tcPr>
          <w:p w14:paraId="496B8222" w14:textId="77777777" w:rsidR="00BA2BBD" w:rsidRDefault="005A5F20">
            <w:pPr>
              <w:widowControl w:val="0"/>
              <w:spacing w:after="0" w:line="240" w:lineRule="auto"/>
              <w:jc w:val="right"/>
            </w:pPr>
            <w:r>
              <w:rPr>
                <w:rFonts w:ascii="Arial CE" w:eastAsia="Arial CE" w:hAnsi="Arial CE" w:cs="Arial CE"/>
                <w:sz w:val="16"/>
                <w:szCs w:val="16"/>
              </w:rPr>
              <w:t>1,000</w:t>
            </w:r>
          </w:p>
        </w:tc>
      </w:tr>
      <w:tr w:rsidR="00BA2BBD" w14:paraId="153CF605" w14:textId="77777777">
        <w:trPr>
          <w:trHeight w:val="288"/>
        </w:trPr>
        <w:tc>
          <w:tcPr>
            <w:tcW w:w="388" w:type="dxa"/>
            <w:tcBorders>
              <w:left w:val="single" w:sz="4" w:space="0" w:color="000000"/>
              <w:bottom w:val="single" w:sz="4" w:space="0" w:color="000000"/>
              <w:right w:val="single" w:sz="4" w:space="0" w:color="000000"/>
            </w:tcBorders>
            <w:shd w:val="clear" w:color="auto" w:fill="auto"/>
            <w:vAlign w:val="bottom"/>
          </w:tcPr>
          <w:p w14:paraId="1EF90DAE" w14:textId="77777777" w:rsidR="00BA2BBD" w:rsidRDefault="005A5F20">
            <w:pPr>
              <w:widowControl w:val="0"/>
              <w:spacing w:after="0" w:line="240" w:lineRule="auto"/>
              <w:jc w:val="right"/>
            </w:pPr>
            <w:r>
              <w:rPr>
                <w:rFonts w:ascii="Arial CE" w:eastAsia="Arial CE" w:hAnsi="Arial CE" w:cs="Arial CE"/>
                <w:sz w:val="16"/>
                <w:szCs w:val="16"/>
              </w:rPr>
              <w:t> </w:t>
            </w:r>
          </w:p>
        </w:tc>
        <w:tc>
          <w:tcPr>
            <w:tcW w:w="407" w:type="dxa"/>
            <w:tcBorders>
              <w:bottom w:val="single" w:sz="4" w:space="0" w:color="000000"/>
              <w:right w:val="single" w:sz="4" w:space="0" w:color="000000"/>
            </w:tcBorders>
            <w:shd w:val="clear" w:color="auto" w:fill="auto"/>
            <w:vAlign w:val="bottom"/>
          </w:tcPr>
          <w:p w14:paraId="538E883A" w14:textId="77777777" w:rsidR="00BA2BBD" w:rsidRDefault="005A5F20">
            <w:pPr>
              <w:widowControl w:val="0"/>
              <w:spacing w:after="0" w:line="240" w:lineRule="auto"/>
            </w:pPr>
            <w:r>
              <w:rPr>
                <w:rFonts w:ascii="Arial CE" w:eastAsia="Arial CE" w:hAnsi="Arial CE" w:cs="Arial CE"/>
                <w:sz w:val="16"/>
                <w:szCs w:val="16"/>
              </w:rPr>
              <w:t> </w:t>
            </w:r>
          </w:p>
        </w:tc>
        <w:tc>
          <w:tcPr>
            <w:tcW w:w="1347" w:type="dxa"/>
            <w:tcBorders>
              <w:bottom w:val="single" w:sz="4" w:space="0" w:color="000000"/>
              <w:right w:val="single" w:sz="4" w:space="0" w:color="000000"/>
            </w:tcBorders>
            <w:shd w:val="clear" w:color="auto" w:fill="auto"/>
            <w:vAlign w:val="bottom"/>
          </w:tcPr>
          <w:p w14:paraId="1E0D05DE" w14:textId="77777777" w:rsidR="00BA2BBD" w:rsidRDefault="005A5F20">
            <w:pPr>
              <w:widowControl w:val="0"/>
              <w:spacing w:after="0" w:line="240" w:lineRule="auto"/>
            </w:pPr>
            <w:r>
              <w:rPr>
                <w:rFonts w:ascii="Arial CE" w:eastAsia="Arial CE" w:hAnsi="Arial CE" w:cs="Arial CE"/>
                <w:color w:val="0000FF"/>
                <w:sz w:val="16"/>
                <w:szCs w:val="16"/>
              </w:rPr>
              <w:t> </w:t>
            </w:r>
          </w:p>
        </w:tc>
        <w:tc>
          <w:tcPr>
            <w:tcW w:w="6039" w:type="dxa"/>
            <w:tcBorders>
              <w:bottom w:val="single" w:sz="4" w:space="0" w:color="000000"/>
              <w:right w:val="single" w:sz="4" w:space="0" w:color="000000"/>
            </w:tcBorders>
            <w:shd w:val="clear" w:color="auto" w:fill="auto"/>
            <w:vAlign w:val="bottom"/>
          </w:tcPr>
          <w:p w14:paraId="74A6E598" w14:textId="77777777" w:rsidR="00BA2BBD" w:rsidRDefault="005A5F20">
            <w:pPr>
              <w:widowControl w:val="0"/>
              <w:spacing w:after="0" w:line="240" w:lineRule="auto"/>
            </w:pPr>
            <w:r>
              <w:rPr>
                <w:rFonts w:ascii="Arial CE" w:eastAsia="Arial CE" w:hAnsi="Arial CE" w:cs="Arial CE"/>
                <w:color w:val="0000FF"/>
                <w:sz w:val="16"/>
                <w:szCs w:val="16"/>
              </w:rPr>
              <w:t xml:space="preserve">" Vystrojení šachty Š11. " </w:t>
            </w:r>
          </w:p>
        </w:tc>
        <w:tc>
          <w:tcPr>
            <w:tcW w:w="620" w:type="dxa"/>
            <w:tcBorders>
              <w:bottom w:val="single" w:sz="4" w:space="0" w:color="000000"/>
              <w:right w:val="single" w:sz="4" w:space="0" w:color="000000"/>
            </w:tcBorders>
            <w:shd w:val="clear" w:color="auto" w:fill="auto"/>
            <w:vAlign w:val="bottom"/>
          </w:tcPr>
          <w:p w14:paraId="41C2F127" w14:textId="77777777" w:rsidR="00BA2BBD" w:rsidRDefault="005A5F20">
            <w:pPr>
              <w:widowControl w:val="0"/>
              <w:spacing w:after="0" w:line="240" w:lineRule="auto"/>
            </w:pPr>
            <w:r>
              <w:rPr>
                <w:rFonts w:ascii="Arial CE" w:eastAsia="Arial CE" w:hAnsi="Arial CE" w:cs="Arial CE"/>
                <w:color w:val="0000FF"/>
                <w:sz w:val="16"/>
                <w:szCs w:val="16"/>
              </w:rPr>
              <w:t> </w:t>
            </w:r>
          </w:p>
        </w:tc>
        <w:tc>
          <w:tcPr>
            <w:tcW w:w="937" w:type="dxa"/>
            <w:tcBorders>
              <w:bottom w:val="single" w:sz="4" w:space="0" w:color="000000"/>
              <w:right w:val="single" w:sz="4" w:space="0" w:color="000000"/>
            </w:tcBorders>
            <w:shd w:val="clear" w:color="auto" w:fill="auto"/>
            <w:vAlign w:val="bottom"/>
          </w:tcPr>
          <w:p w14:paraId="6EAA4599" w14:textId="77777777" w:rsidR="00BA2BBD" w:rsidRDefault="005A5F20">
            <w:pPr>
              <w:widowControl w:val="0"/>
              <w:spacing w:after="0" w:line="240" w:lineRule="auto"/>
              <w:jc w:val="right"/>
            </w:pPr>
            <w:r>
              <w:rPr>
                <w:rFonts w:ascii="Arial CE" w:eastAsia="Arial CE" w:hAnsi="Arial CE" w:cs="Arial CE"/>
                <w:color w:val="0000FF"/>
                <w:sz w:val="16"/>
                <w:szCs w:val="16"/>
              </w:rPr>
              <w:t>1,000</w:t>
            </w:r>
          </w:p>
        </w:tc>
      </w:tr>
      <w:tr w:rsidR="00BA2BBD" w14:paraId="2810935A" w14:textId="77777777">
        <w:trPr>
          <w:trHeight w:val="576"/>
        </w:trPr>
        <w:tc>
          <w:tcPr>
            <w:tcW w:w="388" w:type="dxa"/>
            <w:tcBorders>
              <w:left w:val="single" w:sz="4" w:space="0" w:color="000000"/>
              <w:bottom w:val="single" w:sz="4" w:space="0" w:color="000000"/>
              <w:right w:val="single" w:sz="4" w:space="0" w:color="000000"/>
            </w:tcBorders>
            <w:shd w:val="clear" w:color="auto" w:fill="auto"/>
            <w:vAlign w:val="bottom"/>
          </w:tcPr>
          <w:p w14:paraId="5EB6E5F9" w14:textId="77777777" w:rsidR="00BA2BBD" w:rsidRDefault="005A5F20">
            <w:pPr>
              <w:widowControl w:val="0"/>
              <w:spacing w:after="0" w:line="240" w:lineRule="auto"/>
              <w:jc w:val="right"/>
            </w:pPr>
            <w:r>
              <w:rPr>
                <w:rFonts w:ascii="Arial CE" w:eastAsia="Arial CE" w:hAnsi="Arial CE" w:cs="Arial CE"/>
                <w:sz w:val="16"/>
                <w:szCs w:val="16"/>
              </w:rPr>
              <w:t> </w:t>
            </w:r>
          </w:p>
        </w:tc>
        <w:tc>
          <w:tcPr>
            <w:tcW w:w="407" w:type="dxa"/>
            <w:tcBorders>
              <w:bottom w:val="single" w:sz="4" w:space="0" w:color="000000"/>
              <w:right w:val="single" w:sz="4" w:space="0" w:color="000000"/>
            </w:tcBorders>
            <w:shd w:val="clear" w:color="auto" w:fill="auto"/>
            <w:vAlign w:val="bottom"/>
          </w:tcPr>
          <w:p w14:paraId="29A1583A" w14:textId="77777777" w:rsidR="00BA2BBD" w:rsidRDefault="005A5F20">
            <w:pPr>
              <w:widowControl w:val="0"/>
              <w:spacing w:after="0" w:line="240" w:lineRule="auto"/>
            </w:pPr>
            <w:r>
              <w:rPr>
                <w:rFonts w:ascii="Arial CE" w:eastAsia="Arial CE" w:hAnsi="Arial CE" w:cs="Arial CE"/>
                <w:sz w:val="16"/>
                <w:szCs w:val="16"/>
              </w:rPr>
              <w:t> </w:t>
            </w:r>
          </w:p>
        </w:tc>
        <w:tc>
          <w:tcPr>
            <w:tcW w:w="1347" w:type="dxa"/>
            <w:tcBorders>
              <w:bottom w:val="single" w:sz="4" w:space="0" w:color="000000"/>
              <w:right w:val="single" w:sz="4" w:space="0" w:color="000000"/>
            </w:tcBorders>
            <w:shd w:val="clear" w:color="auto" w:fill="auto"/>
            <w:vAlign w:val="bottom"/>
          </w:tcPr>
          <w:p w14:paraId="2DC26996" w14:textId="77777777" w:rsidR="00BA2BBD" w:rsidRDefault="005A5F20">
            <w:pPr>
              <w:widowControl w:val="0"/>
              <w:spacing w:after="0" w:line="240" w:lineRule="auto"/>
            </w:pPr>
            <w:r>
              <w:rPr>
                <w:rFonts w:ascii="Arial CE" w:eastAsia="Arial CE" w:hAnsi="Arial CE" w:cs="Arial CE"/>
                <w:color w:val="0000FF"/>
                <w:sz w:val="16"/>
                <w:szCs w:val="16"/>
              </w:rPr>
              <w:t> </w:t>
            </w:r>
          </w:p>
        </w:tc>
        <w:tc>
          <w:tcPr>
            <w:tcW w:w="6039" w:type="dxa"/>
            <w:tcBorders>
              <w:bottom w:val="single" w:sz="4" w:space="0" w:color="000000"/>
              <w:right w:val="single" w:sz="4" w:space="0" w:color="000000"/>
            </w:tcBorders>
            <w:shd w:val="clear" w:color="auto" w:fill="auto"/>
            <w:vAlign w:val="bottom"/>
          </w:tcPr>
          <w:p w14:paraId="16596208" w14:textId="77777777" w:rsidR="00BA2BBD" w:rsidRDefault="005A5F20">
            <w:pPr>
              <w:widowControl w:val="0"/>
              <w:spacing w:after="0" w:line="240" w:lineRule="auto"/>
            </w:pPr>
            <w:r>
              <w:rPr>
                <w:rFonts w:ascii="Arial CE" w:eastAsia="Arial CE" w:hAnsi="Arial CE" w:cs="Arial CE"/>
                <w:color w:val="0000FF"/>
                <w:sz w:val="16"/>
                <w:szCs w:val="16"/>
              </w:rPr>
              <w:t>" Včetně prokabelování, napojení na elektro, zprovoznění, případné naprogramování a veškeré další nutné práce související s instalací čerpadla. "</w:t>
            </w:r>
          </w:p>
        </w:tc>
        <w:tc>
          <w:tcPr>
            <w:tcW w:w="620" w:type="dxa"/>
            <w:tcBorders>
              <w:bottom w:val="single" w:sz="4" w:space="0" w:color="000000"/>
              <w:right w:val="single" w:sz="4" w:space="0" w:color="000000"/>
            </w:tcBorders>
            <w:shd w:val="clear" w:color="auto" w:fill="auto"/>
            <w:vAlign w:val="bottom"/>
          </w:tcPr>
          <w:p w14:paraId="7E128BC5" w14:textId="77777777" w:rsidR="00BA2BBD" w:rsidRDefault="005A5F20">
            <w:pPr>
              <w:widowControl w:val="0"/>
              <w:spacing w:after="0" w:line="240" w:lineRule="auto"/>
            </w:pPr>
            <w:r>
              <w:rPr>
                <w:rFonts w:ascii="Arial CE" w:eastAsia="Arial CE" w:hAnsi="Arial CE" w:cs="Arial CE"/>
                <w:color w:val="0000FF"/>
                <w:sz w:val="16"/>
                <w:szCs w:val="16"/>
              </w:rPr>
              <w:t> </w:t>
            </w:r>
          </w:p>
        </w:tc>
        <w:tc>
          <w:tcPr>
            <w:tcW w:w="937" w:type="dxa"/>
            <w:tcBorders>
              <w:bottom w:val="single" w:sz="4" w:space="0" w:color="000000"/>
              <w:right w:val="single" w:sz="4" w:space="0" w:color="000000"/>
            </w:tcBorders>
            <w:shd w:val="clear" w:color="auto" w:fill="auto"/>
            <w:vAlign w:val="bottom"/>
          </w:tcPr>
          <w:p w14:paraId="2888ED9E" w14:textId="77777777" w:rsidR="00BA2BBD" w:rsidRDefault="005A5F20">
            <w:pPr>
              <w:widowControl w:val="0"/>
              <w:spacing w:after="0" w:line="240" w:lineRule="auto"/>
              <w:jc w:val="right"/>
            </w:pPr>
            <w:r>
              <w:rPr>
                <w:rFonts w:ascii="Arial CE" w:eastAsia="Arial CE" w:hAnsi="Arial CE" w:cs="Arial CE"/>
                <w:color w:val="0000FF"/>
                <w:sz w:val="16"/>
                <w:szCs w:val="16"/>
              </w:rPr>
              <w:t> </w:t>
            </w:r>
          </w:p>
        </w:tc>
      </w:tr>
    </w:tbl>
    <w:p w14:paraId="1EF1AC14" w14:textId="77777777" w:rsidR="00BA2BBD" w:rsidRDefault="00BA2BBD">
      <w:pPr>
        <w:pBdr>
          <w:top w:val="nil"/>
          <w:left w:val="nil"/>
          <w:bottom w:val="nil"/>
          <w:right w:val="nil"/>
          <w:between w:val="nil"/>
        </w:pBdr>
        <w:spacing w:after="0"/>
        <w:ind w:left="720"/>
        <w:rPr>
          <w:color w:val="000000"/>
        </w:rPr>
      </w:pPr>
    </w:p>
    <w:p w14:paraId="38634093" w14:textId="77777777" w:rsidR="00BA2BBD" w:rsidRDefault="005A5F20">
      <w:pPr>
        <w:pBdr>
          <w:top w:val="nil"/>
          <w:left w:val="nil"/>
          <w:bottom w:val="nil"/>
          <w:right w:val="nil"/>
          <w:between w:val="nil"/>
        </w:pBdr>
        <w:ind w:left="426"/>
        <w:rPr>
          <w:rFonts w:ascii="Arial" w:eastAsia="Arial" w:hAnsi="Arial" w:cs="Arial"/>
          <w:color w:val="000000"/>
        </w:rPr>
      </w:pPr>
      <w:r>
        <w:rPr>
          <w:rFonts w:ascii="Arial" w:eastAsia="Arial" w:hAnsi="Arial" w:cs="Arial"/>
          <w:color w:val="000000"/>
        </w:rPr>
        <w:t>K uvedené položce jsme nenašli v PD specifikaci. Prosíme o doplnění.</w:t>
      </w:r>
    </w:p>
    <w:p w14:paraId="52B121EA" w14:textId="77777777" w:rsidR="00BA2BBD" w:rsidRDefault="005A5F20">
      <w:pPr>
        <w:ind w:left="66"/>
        <w:rPr>
          <w:color w:val="FF0000"/>
        </w:rPr>
      </w:pPr>
      <w:r>
        <w:rPr>
          <w:color w:val="FF0000"/>
        </w:rPr>
        <w:t>TEO: Specifikace čerpadla doplněna do seznamu strojů a zařízení -D.1.4.1.c_a. SEZNAM STROJU A ZARIZENI (str. 66). Základní informace doplněny také do soupisu prací k položce.</w:t>
      </w:r>
      <w:r>
        <w:rPr>
          <w:color w:val="FF0000"/>
        </w:rPr>
        <w:br/>
        <w:t>Zadavatel na</w:t>
      </w:r>
      <w:r>
        <w:rPr>
          <w:color w:val="FF0000"/>
        </w:rPr>
        <w:t>hrazuje Seznam strojů a zařízení aktualizovanou verzí.</w:t>
      </w:r>
    </w:p>
    <w:p w14:paraId="706EF807" w14:textId="77777777" w:rsidR="00BA2BBD" w:rsidRDefault="00BA2BBD">
      <w:pPr>
        <w:pBdr>
          <w:top w:val="nil"/>
          <w:left w:val="nil"/>
          <w:bottom w:val="nil"/>
          <w:right w:val="nil"/>
          <w:between w:val="nil"/>
        </w:pBdr>
        <w:spacing w:after="0"/>
        <w:ind w:left="426"/>
        <w:rPr>
          <w:rFonts w:ascii="Arial" w:eastAsia="Arial" w:hAnsi="Arial" w:cs="Arial"/>
          <w:color w:val="000000"/>
        </w:rPr>
      </w:pPr>
    </w:p>
    <w:p w14:paraId="6C2E2591" w14:textId="77777777" w:rsidR="00BA2BBD" w:rsidRDefault="005A5F20">
      <w:pPr>
        <w:numPr>
          <w:ilvl w:val="0"/>
          <w:numId w:val="1"/>
        </w:numPr>
        <w:pBdr>
          <w:top w:val="nil"/>
          <w:left w:val="nil"/>
          <w:bottom w:val="nil"/>
          <w:right w:val="nil"/>
          <w:between w:val="nil"/>
        </w:pBdr>
        <w:ind w:left="426"/>
      </w:pPr>
      <w:r>
        <w:rPr>
          <w:rFonts w:ascii="Arial" w:eastAsia="Arial" w:hAnsi="Arial" w:cs="Arial"/>
          <w:color w:val="000000"/>
        </w:rPr>
        <w:t>Ve VV je v části ASŘ – NS chybně nastaven vzorec u oddílu 714 Akustická a protiotřesová opatření. Sumární vzorec za tento oddíl nenabírá pol. č. 232. Prosíme o opravu.</w:t>
      </w:r>
    </w:p>
    <w:p w14:paraId="416423C9" w14:textId="77777777" w:rsidR="00BA2BBD" w:rsidRDefault="005A5F20">
      <w:pPr>
        <w:ind w:left="66"/>
        <w:rPr>
          <w:color w:val="FF0000"/>
        </w:rPr>
      </w:pPr>
      <w:r>
        <w:rPr>
          <w:color w:val="FF0000"/>
        </w:rPr>
        <w:t xml:space="preserve">TEO: </w:t>
      </w:r>
      <w:r>
        <w:rPr>
          <w:color w:val="FF0000"/>
        </w:rPr>
        <w:t>Ve VV vzorce opraveny.</w:t>
      </w:r>
    </w:p>
    <w:p w14:paraId="39BDB674" w14:textId="77777777" w:rsidR="00BA2BBD" w:rsidRDefault="00BA2BBD">
      <w:pPr>
        <w:pBdr>
          <w:top w:val="nil"/>
          <w:left w:val="nil"/>
          <w:bottom w:val="nil"/>
          <w:right w:val="nil"/>
          <w:between w:val="nil"/>
        </w:pBdr>
        <w:spacing w:after="0"/>
        <w:ind w:left="426"/>
        <w:rPr>
          <w:rFonts w:ascii="Arial" w:eastAsia="Arial" w:hAnsi="Arial" w:cs="Arial"/>
          <w:color w:val="000000"/>
        </w:rPr>
      </w:pPr>
    </w:p>
    <w:p w14:paraId="3E0D5137" w14:textId="77777777" w:rsidR="00BA2BBD" w:rsidRDefault="005A5F20">
      <w:pPr>
        <w:numPr>
          <w:ilvl w:val="0"/>
          <w:numId w:val="1"/>
        </w:numPr>
        <w:pBdr>
          <w:top w:val="nil"/>
          <w:left w:val="nil"/>
          <w:bottom w:val="nil"/>
          <w:right w:val="nil"/>
          <w:between w:val="nil"/>
        </w:pBdr>
        <w:ind w:left="426"/>
      </w:pPr>
      <w:r>
        <w:rPr>
          <w:rFonts w:ascii="Arial" w:eastAsia="Arial" w:hAnsi="Arial" w:cs="Arial"/>
          <w:color w:val="000000"/>
        </w:rPr>
        <w:lastRenderedPageBreak/>
        <w:t xml:space="preserve">Ve VV je v části ASŘ – NS chybně nastaven vzorec u oddílu 713 Tepelné izolace. Sumární vzorec za tento oddíl nenabírá pol. č. 226 a 227. Prosíme o opravu </w:t>
      </w:r>
    </w:p>
    <w:p w14:paraId="1FF172FD" w14:textId="77777777" w:rsidR="00BA2BBD" w:rsidRDefault="005A5F20">
      <w:pPr>
        <w:ind w:left="66"/>
        <w:rPr>
          <w:color w:val="FF0000"/>
        </w:rPr>
      </w:pPr>
      <w:r>
        <w:rPr>
          <w:color w:val="FF0000"/>
        </w:rPr>
        <w:t>TEO: Ve VV vzorce opraveny.</w:t>
      </w:r>
    </w:p>
    <w:p w14:paraId="0CD51CBE" w14:textId="77777777" w:rsidR="00BA2BBD" w:rsidRDefault="00BA2BBD">
      <w:pPr>
        <w:pBdr>
          <w:top w:val="nil"/>
          <w:left w:val="nil"/>
          <w:bottom w:val="nil"/>
          <w:right w:val="nil"/>
          <w:between w:val="nil"/>
        </w:pBdr>
        <w:spacing w:after="0"/>
        <w:ind w:left="426"/>
        <w:rPr>
          <w:rFonts w:ascii="Arial" w:eastAsia="Arial" w:hAnsi="Arial" w:cs="Arial"/>
          <w:color w:val="000000"/>
        </w:rPr>
      </w:pPr>
    </w:p>
    <w:p w14:paraId="66BC6DC7" w14:textId="77777777" w:rsidR="00BA2BBD" w:rsidRDefault="005A5F20">
      <w:pPr>
        <w:numPr>
          <w:ilvl w:val="0"/>
          <w:numId w:val="1"/>
        </w:numPr>
        <w:pBdr>
          <w:top w:val="nil"/>
          <w:left w:val="nil"/>
          <w:bottom w:val="nil"/>
          <w:right w:val="nil"/>
          <w:between w:val="nil"/>
        </w:pBdr>
        <w:spacing w:after="0"/>
        <w:ind w:left="426"/>
      </w:pPr>
      <w:r>
        <w:rPr>
          <w:rFonts w:ascii="Arial" w:eastAsia="Arial" w:hAnsi="Arial" w:cs="Arial"/>
          <w:color w:val="000000"/>
        </w:rPr>
        <w:t>Ve VV je v části ASŘ – NS chybně nastaven vzorec u oddílu 771 Podlahy z </w:t>
      </w:r>
      <w:r>
        <w:rPr>
          <w:rFonts w:ascii="Arial" w:eastAsia="Arial" w:hAnsi="Arial" w:cs="Arial"/>
          <w:color w:val="000000"/>
        </w:rPr>
        <w:t>dlaždic. Sumární vzorec za tento oddíl nenabírá pol. č. 309 a 310. Žádáme opravu.</w:t>
      </w:r>
    </w:p>
    <w:p w14:paraId="65CC5371" w14:textId="77777777" w:rsidR="00BA2BBD" w:rsidRDefault="00BA2BBD">
      <w:pPr>
        <w:pBdr>
          <w:top w:val="nil"/>
          <w:left w:val="nil"/>
          <w:bottom w:val="nil"/>
          <w:right w:val="nil"/>
          <w:between w:val="nil"/>
        </w:pBdr>
        <w:ind w:left="720"/>
        <w:rPr>
          <w:color w:val="000000"/>
        </w:rPr>
      </w:pPr>
    </w:p>
    <w:tbl>
      <w:tblPr>
        <w:tblStyle w:val="a0"/>
        <w:tblW w:w="10840" w:type="dxa"/>
        <w:tblInd w:w="-892" w:type="dxa"/>
        <w:tblLayout w:type="fixed"/>
        <w:tblLook w:val="0400" w:firstRow="0" w:lastRow="0" w:firstColumn="0" w:lastColumn="0" w:noHBand="0" w:noVBand="1"/>
      </w:tblPr>
      <w:tblGrid>
        <w:gridCol w:w="499"/>
        <w:gridCol w:w="501"/>
        <w:gridCol w:w="1380"/>
        <w:gridCol w:w="6801"/>
        <w:gridCol w:w="699"/>
        <w:gridCol w:w="960"/>
      </w:tblGrid>
      <w:tr w:rsidR="00BA2BBD" w14:paraId="1D462F4B" w14:textId="77777777">
        <w:trPr>
          <w:trHeight w:val="270"/>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AA0252" w14:textId="77777777" w:rsidR="00BA2BBD" w:rsidRDefault="005A5F20">
            <w:pPr>
              <w:widowControl w:val="0"/>
              <w:spacing w:after="0" w:line="240" w:lineRule="auto"/>
              <w:jc w:val="right"/>
            </w:pPr>
            <w:r>
              <w:rPr>
                <w:rFonts w:ascii="Arial CE" w:eastAsia="Arial CE" w:hAnsi="Arial CE" w:cs="Arial CE"/>
                <w:sz w:val="16"/>
                <w:szCs w:val="16"/>
              </w:rPr>
              <w:t>309</w:t>
            </w:r>
          </w:p>
        </w:tc>
        <w:tc>
          <w:tcPr>
            <w:tcW w:w="501" w:type="dxa"/>
            <w:tcBorders>
              <w:top w:val="single" w:sz="4" w:space="0" w:color="000000"/>
              <w:bottom w:val="single" w:sz="4" w:space="0" w:color="000000"/>
              <w:right w:val="single" w:sz="4" w:space="0" w:color="000000"/>
            </w:tcBorders>
            <w:shd w:val="clear" w:color="auto" w:fill="auto"/>
            <w:vAlign w:val="bottom"/>
          </w:tcPr>
          <w:p w14:paraId="1727EFB0" w14:textId="77777777" w:rsidR="00BA2BBD" w:rsidRDefault="005A5F20">
            <w:pPr>
              <w:widowControl w:val="0"/>
              <w:spacing w:after="0" w:line="240" w:lineRule="auto"/>
            </w:pPr>
            <w:r>
              <w:rPr>
                <w:rFonts w:ascii="Arial CE" w:eastAsia="Arial CE" w:hAnsi="Arial CE" w:cs="Arial CE"/>
                <w:sz w:val="16"/>
                <w:szCs w:val="16"/>
              </w:rPr>
              <w:t>771</w:t>
            </w:r>
          </w:p>
        </w:tc>
        <w:tc>
          <w:tcPr>
            <w:tcW w:w="1380" w:type="dxa"/>
            <w:tcBorders>
              <w:top w:val="single" w:sz="4" w:space="0" w:color="000000"/>
              <w:bottom w:val="single" w:sz="4" w:space="0" w:color="000000"/>
              <w:right w:val="single" w:sz="4" w:space="0" w:color="000000"/>
            </w:tcBorders>
            <w:shd w:val="clear" w:color="auto" w:fill="auto"/>
            <w:vAlign w:val="bottom"/>
          </w:tcPr>
          <w:p w14:paraId="7222FBFD" w14:textId="77777777" w:rsidR="00BA2BBD" w:rsidRDefault="005A5F20">
            <w:pPr>
              <w:widowControl w:val="0"/>
              <w:spacing w:after="0" w:line="240" w:lineRule="auto"/>
            </w:pPr>
            <w:r>
              <w:rPr>
                <w:rFonts w:ascii="Arial CE" w:eastAsia="Arial CE" w:hAnsi="Arial CE" w:cs="Arial CE"/>
                <w:sz w:val="16"/>
                <w:szCs w:val="16"/>
              </w:rPr>
              <w:t>771099111 SPC</w:t>
            </w:r>
          </w:p>
        </w:tc>
        <w:tc>
          <w:tcPr>
            <w:tcW w:w="6801" w:type="dxa"/>
            <w:tcBorders>
              <w:top w:val="single" w:sz="4" w:space="0" w:color="000000"/>
              <w:bottom w:val="single" w:sz="4" w:space="0" w:color="000000"/>
              <w:right w:val="single" w:sz="4" w:space="0" w:color="000000"/>
            </w:tcBorders>
            <w:shd w:val="clear" w:color="auto" w:fill="auto"/>
            <w:vAlign w:val="bottom"/>
          </w:tcPr>
          <w:p w14:paraId="432A1CEF" w14:textId="77777777" w:rsidR="00BA2BBD" w:rsidRDefault="005A5F20">
            <w:pPr>
              <w:widowControl w:val="0"/>
              <w:spacing w:after="0" w:line="240" w:lineRule="auto"/>
            </w:pPr>
            <w:r>
              <w:rPr>
                <w:rFonts w:ascii="Arial CE" w:eastAsia="Arial CE" w:hAnsi="Arial CE" w:cs="Arial CE"/>
                <w:sz w:val="16"/>
                <w:szCs w:val="16"/>
              </w:rPr>
              <w:t>D+M Keramická dlažba - Podlaha na terénu v 1. PP + 1. NP - Specifikace dle PD - KL-P1</w:t>
            </w:r>
          </w:p>
        </w:tc>
        <w:tc>
          <w:tcPr>
            <w:tcW w:w="699" w:type="dxa"/>
            <w:tcBorders>
              <w:top w:val="single" w:sz="4" w:space="0" w:color="000000"/>
              <w:bottom w:val="single" w:sz="4" w:space="0" w:color="000000"/>
              <w:right w:val="single" w:sz="4" w:space="0" w:color="000000"/>
            </w:tcBorders>
            <w:shd w:val="clear" w:color="auto" w:fill="auto"/>
            <w:vAlign w:val="bottom"/>
          </w:tcPr>
          <w:p w14:paraId="41A4D8C3" w14:textId="77777777" w:rsidR="00BA2BBD" w:rsidRDefault="005A5F20">
            <w:pPr>
              <w:widowControl w:val="0"/>
              <w:spacing w:after="0" w:line="240" w:lineRule="auto"/>
            </w:pPr>
            <w:r>
              <w:rPr>
                <w:rFonts w:ascii="Arial CE" w:eastAsia="Arial CE" w:hAnsi="Arial CE" w:cs="Arial CE"/>
                <w:sz w:val="16"/>
                <w:szCs w:val="16"/>
              </w:rPr>
              <w:t>m2</w:t>
            </w:r>
          </w:p>
        </w:tc>
        <w:tc>
          <w:tcPr>
            <w:tcW w:w="960" w:type="dxa"/>
            <w:tcBorders>
              <w:top w:val="single" w:sz="4" w:space="0" w:color="000000"/>
              <w:bottom w:val="single" w:sz="4" w:space="0" w:color="000000"/>
              <w:right w:val="single" w:sz="4" w:space="0" w:color="000000"/>
            </w:tcBorders>
            <w:shd w:val="clear" w:color="auto" w:fill="auto"/>
            <w:vAlign w:val="bottom"/>
          </w:tcPr>
          <w:p w14:paraId="6C1C85CE" w14:textId="77777777" w:rsidR="00BA2BBD" w:rsidRDefault="005A5F20">
            <w:pPr>
              <w:widowControl w:val="0"/>
              <w:spacing w:after="0" w:line="240" w:lineRule="auto"/>
              <w:jc w:val="right"/>
            </w:pPr>
            <w:r>
              <w:rPr>
                <w:rFonts w:ascii="Arial CE" w:eastAsia="Arial CE" w:hAnsi="Arial CE" w:cs="Arial CE"/>
                <w:sz w:val="16"/>
                <w:szCs w:val="16"/>
              </w:rPr>
              <w:t>19,67</w:t>
            </w:r>
          </w:p>
        </w:tc>
      </w:tr>
    </w:tbl>
    <w:p w14:paraId="289102AD" w14:textId="77777777" w:rsidR="00BA2BBD" w:rsidRDefault="00BA2BBD">
      <w:pPr>
        <w:pBdr>
          <w:top w:val="nil"/>
          <w:left w:val="nil"/>
          <w:bottom w:val="nil"/>
          <w:right w:val="nil"/>
          <w:between w:val="nil"/>
        </w:pBdr>
        <w:ind w:left="720"/>
        <w:rPr>
          <w:color w:val="000000"/>
        </w:rPr>
      </w:pPr>
    </w:p>
    <w:tbl>
      <w:tblPr>
        <w:tblStyle w:val="a1"/>
        <w:tblW w:w="10840" w:type="dxa"/>
        <w:tblInd w:w="-892" w:type="dxa"/>
        <w:tblLayout w:type="fixed"/>
        <w:tblLook w:val="0400" w:firstRow="0" w:lastRow="0" w:firstColumn="0" w:lastColumn="0" w:noHBand="0" w:noVBand="1"/>
      </w:tblPr>
      <w:tblGrid>
        <w:gridCol w:w="499"/>
        <w:gridCol w:w="501"/>
        <w:gridCol w:w="1380"/>
        <w:gridCol w:w="6801"/>
        <w:gridCol w:w="699"/>
        <w:gridCol w:w="960"/>
      </w:tblGrid>
      <w:tr w:rsidR="00BA2BBD" w14:paraId="3EE6878D" w14:textId="77777777">
        <w:trPr>
          <w:trHeight w:val="270"/>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2063B0" w14:textId="77777777" w:rsidR="00BA2BBD" w:rsidRDefault="005A5F20">
            <w:pPr>
              <w:widowControl w:val="0"/>
              <w:spacing w:after="0" w:line="240" w:lineRule="auto"/>
              <w:jc w:val="right"/>
            </w:pPr>
            <w:r>
              <w:rPr>
                <w:rFonts w:ascii="Arial CE" w:eastAsia="Arial CE" w:hAnsi="Arial CE" w:cs="Arial CE"/>
                <w:sz w:val="16"/>
                <w:szCs w:val="16"/>
              </w:rPr>
              <w:t>310</w:t>
            </w:r>
          </w:p>
        </w:tc>
        <w:tc>
          <w:tcPr>
            <w:tcW w:w="501" w:type="dxa"/>
            <w:tcBorders>
              <w:top w:val="single" w:sz="4" w:space="0" w:color="000000"/>
              <w:bottom w:val="single" w:sz="4" w:space="0" w:color="000000"/>
              <w:right w:val="single" w:sz="4" w:space="0" w:color="000000"/>
            </w:tcBorders>
            <w:shd w:val="clear" w:color="auto" w:fill="auto"/>
            <w:vAlign w:val="bottom"/>
          </w:tcPr>
          <w:p w14:paraId="1B9D43A9" w14:textId="77777777" w:rsidR="00BA2BBD" w:rsidRDefault="005A5F20">
            <w:pPr>
              <w:widowControl w:val="0"/>
              <w:spacing w:after="0" w:line="240" w:lineRule="auto"/>
            </w:pPr>
            <w:r>
              <w:rPr>
                <w:rFonts w:ascii="Arial CE" w:eastAsia="Arial CE" w:hAnsi="Arial CE" w:cs="Arial CE"/>
                <w:sz w:val="16"/>
                <w:szCs w:val="16"/>
              </w:rPr>
              <w:t>771</w:t>
            </w:r>
          </w:p>
        </w:tc>
        <w:tc>
          <w:tcPr>
            <w:tcW w:w="1380" w:type="dxa"/>
            <w:tcBorders>
              <w:top w:val="single" w:sz="4" w:space="0" w:color="000000"/>
              <w:bottom w:val="single" w:sz="4" w:space="0" w:color="000000"/>
              <w:right w:val="single" w:sz="4" w:space="0" w:color="000000"/>
            </w:tcBorders>
            <w:shd w:val="clear" w:color="auto" w:fill="auto"/>
            <w:vAlign w:val="bottom"/>
          </w:tcPr>
          <w:p w14:paraId="7B39735F" w14:textId="77777777" w:rsidR="00BA2BBD" w:rsidRDefault="005A5F20">
            <w:pPr>
              <w:widowControl w:val="0"/>
              <w:spacing w:after="0" w:line="240" w:lineRule="auto"/>
            </w:pPr>
            <w:r>
              <w:rPr>
                <w:rFonts w:ascii="Arial CE" w:eastAsia="Arial CE" w:hAnsi="Arial CE" w:cs="Arial CE"/>
                <w:sz w:val="16"/>
                <w:szCs w:val="16"/>
              </w:rPr>
              <w:t>771099112 SPC</w:t>
            </w:r>
          </w:p>
        </w:tc>
        <w:tc>
          <w:tcPr>
            <w:tcW w:w="6801" w:type="dxa"/>
            <w:tcBorders>
              <w:top w:val="single" w:sz="4" w:space="0" w:color="000000"/>
              <w:bottom w:val="single" w:sz="4" w:space="0" w:color="000000"/>
              <w:right w:val="single" w:sz="4" w:space="0" w:color="000000"/>
            </w:tcBorders>
            <w:shd w:val="clear" w:color="auto" w:fill="auto"/>
            <w:vAlign w:val="bottom"/>
          </w:tcPr>
          <w:p w14:paraId="660C0091" w14:textId="77777777" w:rsidR="00BA2BBD" w:rsidRDefault="005A5F20">
            <w:pPr>
              <w:widowControl w:val="0"/>
              <w:spacing w:after="0" w:line="240" w:lineRule="auto"/>
            </w:pPr>
            <w:r>
              <w:rPr>
                <w:rFonts w:ascii="Arial CE" w:eastAsia="Arial CE" w:hAnsi="Arial CE" w:cs="Arial CE"/>
                <w:sz w:val="16"/>
                <w:szCs w:val="16"/>
              </w:rPr>
              <w:t>D+M Keramická dlažba - Podlaha v 1. NP + 2. NP + 3. NP - Specifikace dle PD - KL-P11</w:t>
            </w:r>
          </w:p>
        </w:tc>
        <w:tc>
          <w:tcPr>
            <w:tcW w:w="699" w:type="dxa"/>
            <w:tcBorders>
              <w:top w:val="single" w:sz="4" w:space="0" w:color="000000"/>
              <w:bottom w:val="single" w:sz="4" w:space="0" w:color="000000"/>
              <w:right w:val="single" w:sz="4" w:space="0" w:color="000000"/>
            </w:tcBorders>
            <w:shd w:val="clear" w:color="auto" w:fill="auto"/>
            <w:vAlign w:val="bottom"/>
          </w:tcPr>
          <w:p w14:paraId="757E9AA8" w14:textId="77777777" w:rsidR="00BA2BBD" w:rsidRDefault="005A5F20">
            <w:pPr>
              <w:widowControl w:val="0"/>
              <w:spacing w:after="0" w:line="240" w:lineRule="auto"/>
            </w:pPr>
            <w:r>
              <w:rPr>
                <w:rFonts w:ascii="Arial CE" w:eastAsia="Arial CE" w:hAnsi="Arial CE" w:cs="Arial CE"/>
                <w:sz w:val="16"/>
                <w:szCs w:val="16"/>
              </w:rPr>
              <w:t>m2</w:t>
            </w:r>
          </w:p>
        </w:tc>
        <w:tc>
          <w:tcPr>
            <w:tcW w:w="960" w:type="dxa"/>
            <w:tcBorders>
              <w:top w:val="single" w:sz="4" w:space="0" w:color="000000"/>
              <w:bottom w:val="single" w:sz="4" w:space="0" w:color="000000"/>
              <w:right w:val="single" w:sz="4" w:space="0" w:color="000000"/>
            </w:tcBorders>
            <w:shd w:val="clear" w:color="auto" w:fill="auto"/>
            <w:vAlign w:val="bottom"/>
          </w:tcPr>
          <w:p w14:paraId="15001306" w14:textId="77777777" w:rsidR="00BA2BBD" w:rsidRDefault="005A5F20">
            <w:pPr>
              <w:widowControl w:val="0"/>
              <w:spacing w:after="0" w:line="240" w:lineRule="auto"/>
              <w:jc w:val="right"/>
            </w:pPr>
            <w:r>
              <w:rPr>
                <w:rFonts w:ascii="Arial CE" w:eastAsia="Arial CE" w:hAnsi="Arial CE" w:cs="Arial CE"/>
                <w:sz w:val="16"/>
                <w:szCs w:val="16"/>
              </w:rPr>
              <w:t>124,30</w:t>
            </w:r>
          </w:p>
        </w:tc>
      </w:tr>
    </w:tbl>
    <w:p w14:paraId="2CEAF2CE" w14:textId="77777777" w:rsidR="00BA2BBD" w:rsidRDefault="00BA2BBD"/>
    <w:p w14:paraId="4C71A6B8" w14:textId="77777777" w:rsidR="00BA2BBD" w:rsidRDefault="005A5F20">
      <w:pPr>
        <w:rPr>
          <w:color w:val="FF0000"/>
        </w:rPr>
      </w:pPr>
      <w:r>
        <w:rPr>
          <w:color w:val="FF0000"/>
        </w:rPr>
        <w:t>TEO:</w:t>
      </w:r>
      <w:r>
        <w:rPr>
          <w:color w:val="FF0000"/>
        </w:rPr>
        <w:t xml:space="preserve"> Ve VV vzorce opraveny.</w:t>
      </w:r>
    </w:p>
    <w:p w14:paraId="3F15D189" w14:textId="77777777" w:rsidR="00BA2BBD" w:rsidRDefault="005A5F20">
      <w:pPr>
        <w:numPr>
          <w:ilvl w:val="0"/>
          <w:numId w:val="1"/>
        </w:numPr>
        <w:pBdr>
          <w:top w:val="nil"/>
          <w:left w:val="nil"/>
          <w:bottom w:val="nil"/>
          <w:right w:val="nil"/>
          <w:between w:val="nil"/>
        </w:pBdr>
        <w:ind w:left="426"/>
      </w:pPr>
      <w:r>
        <w:rPr>
          <w:rFonts w:ascii="Arial" w:eastAsia="Arial" w:hAnsi="Arial" w:cs="Arial"/>
          <w:color w:val="000000"/>
        </w:rPr>
        <w:t>Ve VV je v části ASŘ – NS chybně nastaven vzorec u oddílu 776 Podlahy povlakové. Sumární vzorec za tento oddíl nenabírá položky č. 331, 332, 333 a 334. Žádáme opravu.</w:t>
      </w:r>
    </w:p>
    <w:tbl>
      <w:tblPr>
        <w:tblStyle w:val="a2"/>
        <w:tblW w:w="10840" w:type="dxa"/>
        <w:tblInd w:w="-892" w:type="dxa"/>
        <w:tblLayout w:type="fixed"/>
        <w:tblLook w:val="0400" w:firstRow="0" w:lastRow="0" w:firstColumn="0" w:lastColumn="0" w:noHBand="0" w:noVBand="1"/>
      </w:tblPr>
      <w:tblGrid>
        <w:gridCol w:w="499"/>
        <w:gridCol w:w="501"/>
        <w:gridCol w:w="1380"/>
        <w:gridCol w:w="6801"/>
        <w:gridCol w:w="699"/>
        <w:gridCol w:w="960"/>
      </w:tblGrid>
      <w:tr w:rsidR="00BA2BBD" w14:paraId="0ACDD484" w14:textId="77777777">
        <w:trPr>
          <w:trHeight w:val="270"/>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1455CD" w14:textId="77777777" w:rsidR="00BA2BBD" w:rsidRDefault="005A5F20">
            <w:pPr>
              <w:widowControl w:val="0"/>
              <w:spacing w:after="0" w:line="240" w:lineRule="auto"/>
              <w:jc w:val="right"/>
            </w:pPr>
            <w:r>
              <w:rPr>
                <w:rFonts w:ascii="Arial CE" w:eastAsia="Arial CE" w:hAnsi="Arial CE" w:cs="Arial CE"/>
                <w:sz w:val="16"/>
                <w:szCs w:val="16"/>
              </w:rPr>
              <w:t>331</w:t>
            </w:r>
          </w:p>
        </w:tc>
        <w:tc>
          <w:tcPr>
            <w:tcW w:w="501" w:type="dxa"/>
            <w:tcBorders>
              <w:top w:val="single" w:sz="4" w:space="0" w:color="000000"/>
              <w:bottom w:val="single" w:sz="4" w:space="0" w:color="000000"/>
              <w:right w:val="single" w:sz="4" w:space="0" w:color="000000"/>
            </w:tcBorders>
            <w:shd w:val="clear" w:color="auto" w:fill="auto"/>
            <w:vAlign w:val="bottom"/>
          </w:tcPr>
          <w:p w14:paraId="7E2C7BED" w14:textId="77777777" w:rsidR="00BA2BBD" w:rsidRDefault="005A5F20">
            <w:pPr>
              <w:widowControl w:val="0"/>
              <w:spacing w:after="0" w:line="240" w:lineRule="auto"/>
            </w:pPr>
            <w:r>
              <w:rPr>
                <w:rFonts w:ascii="Arial CE" w:eastAsia="Arial CE" w:hAnsi="Arial CE" w:cs="Arial CE"/>
                <w:sz w:val="16"/>
                <w:szCs w:val="16"/>
              </w:rPr>
              <w:t>776</w:t>
            </w:r>
          </w:p>
        </w:tc>
        <w:tc>
          <w:tcPr>
            <w:tcW w:w="1380" w:type="dxa"/>
            <w:tcBorders>
              <w:top w:val="single" w:sz="4" w:space="0" w:color="000000"/>
              <w:bottom w:val="single" w:sz="4" w:space="0" w:color="000000"/>
              <w:right w:val="single" w:sz="4" w:space="0" w:color="000000"/>
            </w:tcBorders>
            <w:shd w:val="clear" w:color="auto" w:fill="auto"/>
            <w:vAlign w:val="bottom"/>
          </w:tcPr>
          <w:p w14:paraId="0B9B26DE" w14:textId="77777777" w:rsidR="00BA2BBD" w:rsidRDefault="005A5F20">
            <w:pPr>
              <w:widowControl w:val="0"/>
              <w:spacing w:after="0" w:line="240" w:lineRule="auto"/>
            </w:pPr>
            <w:r>
              <w:rPr>
                <w:rFonts w:ascii="Arial CE" w:eastAsia="Arial CE" w:hAnsi="Arial CE" w:cs="Arial CE"/>
                <w:sz w:val="16"/>
                <w:szCs w:val="16"/>
              </w:rPr>
              <w:t>776999103 SPC</w:t>
            </w:r>
          </w:p>
        </w:tc>
        <w:tc>
          <w:tcPr>
            <w:tcW w:w="6801" w:type="dxa"/>
            <w:tcBorders>
              <w:top w:val="single" w:sz="4" w:space="0" w:color="000000"/>
              <w:bottom w:val="single" w:sz="4" w:space="0" w:color="000000"/>
              <w:right w:val="single" w:sz="4" w:space="0" w:color="000000"/>
            </w:tcBorders>
            <w:shd w:val="clear" w:color="auto" w:fill="auto"/>
            <w:vAlign w:val="bottom"/>
          </w:tcPr>
          <w:p w14:paraId="5A2EB830" w14:textId="77777777" w:rsidR="00BA2BBD" w:rsidRDefault="005A5F20">
            <w:pPr>
              <w:widowControl w:val="0"/>
              <w:spacing w:after="0" w:line="240" w:lineRule="auto"/>
            </w:pPr>
            <w:r>
              <w:rPr>
                <w:rFonts w:ascii="Arial CE" w:eastAsia="Arial CE" w:hAnsi="Arial CE" w:cs="Arial CE"/>
                <w:sz w:val="16"/>
                <w:szCs w:val="16"/>
              </w:rPr>
              <w:t>D+M Heterogenní sportovní vinyl - Podlaha v 1. NP - Specifikace dle</w:t>
            </w:r>
            <w:r>
              <w:rPr>
                <w:rFonts w:ascii="Arial CE" w:eastAsia="Arial CE" w:hAnsi="Arial CE" w:cs="Arial CE"/>
                <w:sz w:val="16"/>
                <w:szCs w:val="16"/>
              </w:rPr>
              <w:t xml:space="preserve"> PD - CH-P21</w:t>
            </w:r>
          </w:p>
        </w:tc>
        <w:tc>
          <w:tcPr>
            <w:tcW w:w="699" w:type="dxa"/>
            <w:tcBorders>
              <w:top w:val="single" w:sz="4" w:space="0" w:color="000000"/>
              <w:bottom w:val="single" w:sz="4" w:space="0" w:color="000000"/>
              <w:right w:val="single" w:sz="4" w:space="0" w:color="000000"/>
            </w:tcBorders>
            <w:shd w:val="clear" w:color="auto" w:fill="auto"/>
            <w:vAlign w:val="bottom"/>
          </w:tcPr>
          <w:p w14:paraId="4D5CE35A" w14:textId="77777777" w:rsidR="00BA2BBD" w:rsidRDefault="005A5F20">
            <w:pPr>
              <w:widowControl w:val="0"/>
              <w:spacing w:after="0" w:line="240" w:lineRule="auto"/>
            </w:pPr>
            <w:r>
              <w:rPr>
                <w:rFonts w:ascii="Arial CE" w:eastAsia="Arial CE" w:hAnsi="Arial CE" w:cs="Arial CE"/>
                <w:sz w:val="16"/>
                <w:szCs w:val="16"/>
              </w:rPr>
              <w:t>m2</w:t>
            </w:r>
          </w:p>
        </w:tc>
        <w:tc>
          <w:tcPr>
            <w:tcW w:w="960" w:type="dxa"/>
            <w:tcBorders>
              <w:top w:val="single" w:sz="4" w:space="0" w:color="000000"/>
              <w:bottom w:val="single" w:sz="4" w:space="0" w:color="000000"/>
              <w:right w:val="single" w:sz="4" w:space="0" w:color="000000"/>
            </w:tcBorders>
            <w:shd w:val="clear" w:color="auto" w:fill="auto"/>
            <w:vAlign w:val="bottom"/>
          </w:tcPr>
          <w:p w14:paraId="7F8ACC55" w14:textId="77777777" w:rsidR="00BA2BBD" w:rsidRDefault="005A5F20">
            <w:pPr>
              <w:widowControl w:val="0"/>
              <w:spacing w:after="0" w:line="240" w:lineRule="auto"/>
              <w:jc w:val="right"/>
            </w:pPr>
            <w:r>
              <w:rPr>
                <w:rFonts w:ascii="Arial CE" w:eastAsia="Arial CE" w:hAnsi="Arial CE" w:cs="Arial CE"/>
                <w:sz w:val="16"/>
                <w:szCs w:val="16"/>
              </w:rPr>
              <w:t>169,220</w:t>
            </w:r>
          </w:p>
        </w:tc>
      </w:tr>
      <w:tr w:rsidR="00BA2BBD" w14:paraId="3DBDC321" w14:textId="77777777">
        <w:trPr>
          <w:trHeight w:val="270"/>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5E7458" w14:textId="77777777" w:rsidR="00BA2BBD" w:rsidRDefault="005A5F20">
            <w:pPr>
              <w:widowControl w:val="0"/>
              <w:spacing w:after="0" w:line="240" w:lineRule="auto"/>
              <w:jc w:val="right"/>
            </w:pPr>
            <w:r>
              <w:rPr>
                <w:rFonts w:ascii="Arial CE" w:eastAsia="Arial CE" w:hAnsi="Arial CE" w:cs="Arial CE"/>
                <w:sz w:val="16"/>
                <w:szCs w:val="16"/>
              </w:rPr>
              <w:t>332</w:t>
            </w:r>
          </w:p>
        </w:tc>
        <w:tc>
          <w:tcPr>
            <w:tcW w:w="501" w:type="dxa"/>
            <w:tcBorders>
              <w:top w:val="single" w:sz="4" w:space="0" w:color="000000"/>
              <w:bottom w:val="single" w:sz="4" w:space="0" w:color="000000"/>
              <w:right w:val="single" w:sz="4" w:space="0" w:color="000000"/>
            </w:tcBorders>
            <w:shd w:val="clear" w:color="auto" w:fill="auto"/>
            <w:vAlign w:val="bottom"/>
          </w:tcPr>
          <w:p w14:paraId="63A203C5" w14:textId="77777777" w:rsidR="00BA2BBD" w:rsidRDefault="005A5F20">
            <w:pPr>
              <w:widowControl w:val="0"/>
              <w:spacing w:after="0" w:line="240" w:lineRule="auto"/>
            </w:pPr>
            <w:r>
              <w:rPr>
                <w:rFonts w:ascii="Arial CE" w:eastAsia="Arial CE" w:hAnsi="Arial CE" w:cs="Arial CE"/>
                <w:sz w:val="16"/>
                <w:szCs w:val="16"/>
              </w:rPr>
              <w:t>776</w:t>
            </w:r>
          </w:p>
        </w:tc>
        <w:tc>
          <w:tcPr>
            <w:tcW w:w="1380" w:type="dxa"/>
            <w:tcBorders>
              <w:top w:val="single" w:sz="4" w:space="0" w:color="000000"/>
              <w:bottom w:val="single" w:sz="4" w:space="0" w:color="000000"/>
              <w:right w:val="single" w:sz="4" w:space="0" w:color="000000"/>
            </w:tcBorders>
            <w:shd w:val="clear" w:color="auto" w:fill="auto"/>
            <w:vAlign w:val="bottom"/>
          </w:tcPr>
          <w:p w14:paraId="5977986C" w14:textId="77777777" w:rsidR="00BA2BBD" w:rsidRDefault="005A5F20">
            <w:pPr>
              <w:widowControl w:val="0"/>
              <w:spacing w:after="0" w:line="240" w:lineRule="auto"/>
            </w:pPr>
            <w:r>
              <w:rPr>
                <w:rFonts w:ascii="Arial CE" w:eastAsia="Arial CE" w:hAnsi="Arial CE" w:cs="Arial CE"/>
                <w:sz w:val="16"/>
                <w:szCs w:val="16"/>
              </w:rPr>
              <w:t>776999103 SPC</w:t>
            </w:r>
          </w:p>
        </w:tc>
        <w:tc>
          <w:tcPr>
            <w:tcW w:w="6801" w:type="dxa"/>
            <w:tcBorders>
              <w:top w:val="single" w:sz="4" w:space="0" w:color="000000"/>
              <w:bottom w:val="single" w:sz="4" w:space="0" w:color="000000"/>
              <w:right w:val="single" w:sz="4" w:space="0" w:color="000000"/>
            </w:tcBorders>
            <w:shd w:val="clear" w:color="auto" w:fill="auto"/>
            <w:vAlign w:val="bottom"/>
          </w:tcPr>
          <w:p w14:paraId="5C1F4ABD" w14:textId="77777777" w:rsidR="00BA2BBD" w:rsidRDefault="005A5F20">
            <w:pPr>
              <w:widowControl w:val="0"/>
              <w:spacing w:after="0" w:line="240" w:lineRule="auto"/>
            </w:pPr>
            <w:r>
              <w:rPr>
                <w:rFonts w:ascii="Arial CE" w:eastAsia="Arial CE" w:hAnsi="Arial CE" w:cs="Arial CE"/>
                <w:sz w:val="16"/>
                <w:szCs w:val="16"/>
              </w:rPr>
              <w:t>D+M Heterogenní sportovní vinyl - Podlaha v 1. NP - Specifikace dle PD - CH-P22</w:t>
            </w:r>
          </w:p>
        </w:tc>
        <w:tc>
          <w:tcPr>
            <w:tcW w:w="699" w:type="dxa"/>
            <w:tcBorders>
              <w:top w:val="single" w:sz="4" w:space="0" w:color="000000"/>
              <w:bottom w:val="single" w:sz="4" w:space="0" w:color="000000"/>
              <w:right w:val="single" w:sz="4" w:space="0" w:color="000000"/>
            </w:tcBorders>
            <w:shd w:val="clear" w:color="auto" w:fill="auto"/>
            <w:vAlign w:val="bottom"/>
          </w:tcPr>
          <w:p w14:paraId="378316E4" w14:textId="77777777" w:rsidR="00BA2BBD" w:rsidRDefault="005A5F20">
            <w:pPr>
              <w:widowControl w:val="0"/>
              <w:spacing w:after="0" w:line="240" w:lineRule="auto"/>
            </w:pPr>
            <w:r>
              <w:rPr>
                <w:rFonts w:ascii="Arial CE" w:eastAsia="Arial CE" w:hAnsi="Arial CE" w:cs="Arial CE"/>
                <w:sz w:val="16"/>
                <w:szCs w:val="16"/>
              </w:rPr>
              <w:t>m2</w:t>
            </w:r>
          </w:p>
        </w:tc>
        <w:tc>
          <w:tcPr>
            <w:tcW w:w="960" w:type="dxa"/>
            <w:tcBorders>
              <w:top w:val="single" w:sz="4" w:space="0" w:color="000000"/>
              <w:bottom w:val="single" w:sz="4" w:space="0" w:color="000000"/>
              <w:right w:val="single" w:sz="4" w:space="0" w:color="000000"/>
            </w:tcBorders>
            <w:shd w:val="clear" w:color="auto" w:fill="auto"/>
            <w:vAlign w:val="bottom"/>
          </w:tcPr>
          <w:p w14:paraId="3B1207B0" w14:textId="77777777" w:rsidR="00BA2BBD" w:rsidRDefault="005A5F20">
            <w:pPr>
              <w:widowControl w:val="0"/>
              <w:spacing w:after="0" w:line="240" w:lineRule="auto"/>
              <w:jc w:val="right"/>
            </w:pPr>
            <w:r>
              <w:rPr>
                <w:rFonts w:ascii="Arial CE" w:eastAsia="Arial CE" w:hAnsi="Arial CE" w:cs="Arial CE"/>
                <w:sz w:val="16"/>
                <w:szCs w:val="16"/>
              </w:rPr>
              <w:t>101,200</w:t>
            </w:r>
          </w:p>
        </w:tc>
      </w:tr>
      <w:tr w:rsidR="00BA2BBD" w14:paraId="4961DE7F" w14:textId="77777777">
        <w:trPr>
          <w:trHeight w:val="270"/>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F39AD0" w14:textId="77777777" w:rsidR="00BA2BBD" w:rsidRDefault="005A5F20">
            <w:pPr>
              <w:widowControl w:val="0"/>
              <w:spacing w:after="0" w:line="240" w:lineRule="auto"/>
              <w:jc w:val="right"/>
            </w:pPr>
            <w:r>
              <w:rPr>
                <w:rFonts w:ascii="Arial CE" w:eastAsia="Arial CE" w:hAnsi="Arial CE" w:cs="Arial CE"/>
                <w:sz w:val="16"/>
                <w:szCs w:val="16"/>
              </w:rPr>
              <w:t>333</w:t>
            </w:r>
          </w:p>
        </w:tc>
        <w:tc>
          <w:tcPr>
            <w:tcW w:w="501" w:type="dxa"/>
            <w:tcBorders>
              <w:top w:val="single" w:sz="4" w:space="0" w:color="000000"/>
              <w:bottom w:val="single" w:sz="4" w:space="0" w:color="000000"/>
              <w:right w:val="single" w:sz="4" w:space="0" w:color="000000"/>
            </w:tcBorders>
            <w:shd w:val="clear" w:color="auto" w:fill="auto"/>
            <w:vAlign w:val="bottom"/>
          </w:tcPr>
          <w:p w14:paraId="2386DE87" w14:textId="77777777" w:rsidR="00BA2BBD" w:rsidRDefault="005A5F20">
            <w:pPr>
              <w:widowControl w:val="0"/>
              <w:spacing w:after="0" w:line="240" w:lineRule="auto"/>
            </w:pPr>
            <w:r>
              <w:rPr>
                <w:rFonts w:ascii="Arial CE" w:eastAsia="Arial CE" w:hAnsi="Arial CE" w:cs="Arial CE"/>
                <w:sz w:val="16"/>
                <w:szCs w:val="16"/>
              </w:rPr>
              <w:t>776</w:t>
            </w:r>
          </w:p>
        </w:tc>
        <w:tc>
          <w:tcPr>
            <w:tcW w:w="1380" w:type="dxa"/>
            <w:tcBorders>
              <w:top w:val="single" w:sz="4" w:space="0" w:color="000000"/>
              <w:bottom w:val="single" w:sz="4" w:space="0" w:color="000000"/>
              <w:right w:val="single" w:sz="4" w:space="0" w:color="000000"/>
            </w:tcBorders>
            <w:shd w:val="clear" w:color="auto" w:fill="auto"/>
            <w:vAlign w:val="bottom"/>
          </w:tcPr>
          <w:p w14:paraId="0813A708" w14:textId="77777777" w:rsidR="00BA2BBD" w:rsidRDefault="005A5F20">
            <w:pPr>
              <w:widowControl w:val="0"/>
              <w:spacing w:after="0" w:line="240" w:lineRule="auto"/>
            </w:pPr>
            <w:r>
              <w:rPr>
                <w:rFonts w:ascii="Arial CE" w:eastAsia="Arial CE" w:hAnsi="Arial CE" w:cs="Arial CE"/>
                <w:sz w:val="16"/>
                <w:szCs w:val="16"/>
              </w:rPr>
              <w:t>776999103 SPC</w:t>
            </w:r>
          </w:p>
        </w:tc>
        <w:tc>
          <w:tcPr>
            <w:tcW w:w="6801" w:type="dxa"/>
            <w:tcBorders>
              <w:top w:val="single" w:sz="4" w:space="0" w:color="000000"/>
              <w:bottom w:val="single" w:sz="4" w:space="0" w:color="000000"/>
              <w:right w:val="single" w:sz="4" w:space="0" w:color="000000"/>
            </w:tcBorders>
            <w:shd w:val="clear" w:color="auto" w:fill="auto"/>
            <w:vAlign w:val="bottom"/>
          </w:tcPr>
          <w:p w14:paraId="74FB840B" w14:textId="77777777" w:rsidR="00BA2BBD" w:rsidRDefault="005A5F20">
            <w:pPr>
              <w:widowControl w:val="0"/>
              <w:spacing w:after="0" w:line="240" w:lineRule="auto"/>
            </w:pPr>
            <w:r>
              <w:rPr>
                <w:rFonts w:ascii="Arial CE" w:eastAsia="Arial CE" w:hAnsi="Arial CE" w:cs="Arial CE"/>
                <w:sz w:val="16"/>
                <w:szCs w:val="16"/>
              </w:rPr>
              <w:t>D+M Gumová zátěžová podlaha - Podlaha v 1. NP - Specifikace dle PD - CH-P23</w:t>
            </w:r>
          </w:p>
        </w:tc>
        <w:tc>
          <w:tcPr>
            <w:tcW w:w="699" w:type="dxa"/>
            <w:tcBorders>
              <w:top w:val="single" w:sz="4" w:space="0" w:color="000000"/>
              <w:bottom w:val="single" w:sz="4" w:space="0" w:color="000000"/>
              <w:right w:val="single" w:sz="4" w:space="0" w:color="000000"/>
            </w:tcBorders>
            <w:shd w:val="clear" w:color="auto" w:fill="auto"/>
            <w:vAlign w:val="bottom"/>
          </w:tcPr>
          <w:p w14:paraId="7005854A" w14:textId="77777777" w:rsidR="00BA2BBD" w:rsidRDefault="005A5F20">
            <w:pPr>
              <w:widowControl w:val="0"/>
              <w:spacing w:after="0" w:line="240" w:lineRule="auto"/>
            </w:pPr>
            <w:r>
              <w:rPr>
                <w:rFonts w:ascii="Arial CE" w:eastAsia="Arial CE" w:hAnsi="Arial CE" w:cs="Arial CE"/>
                <w:sz w:val="16"/>
                <w:szCs w:val="16"/>
              </w:rPr>
              <w:t>m2</w:t>
            </w:r>
          </w:p>
        </w:tc>
        <w:tc>
          <w:tcPr>
            <w:tcW w:w="960" w:type="dxa"/>
            <w:tcBorders>
              <w:top w:val="single" w:sz="4" w:space="0" w:color="000000"/>
              <w:bottom w:val="single" w:sz="4" w:space="0" w:color="000000"/>
              <w:right w:val="single" w:sz="4" w:space="0" w:color="000000"/>
            </w:tcBorders>
            <w:shd w:val="clear" w:color="auto" w:fill="auto"/>
            <w:vAlign w:val="bottom"/>
          </w:tcPr>
          <w:p w14:paraId="1ED76C49" w14:textId="77777777" w:rsidR="00BA2BBD" w:rsidRDefault="005A5F20">
            <w:pPr>
              <w:widowControl w:val="0"/>
              <w:spacing w:after="0" w:line="240" w:lineRule="auto"/>
              <w:jc w:val="right"/>
            </w:pPr>
            <w:r>
              <w:rPr>
                <w:rFonts w:ascii="Arial CE" w:eastAsia="Arial CE" w:hAnsi="Arial CE" w:cs="Arial CE"/>
                <w:sz w:val="16"/>
                <w:szCs w:val="16"/>
              </w:rPr>
              <w:t>80,330</w:t>
            </w:r>
          </w:p>
        </w:tc>
      </w:tr>
      <w:tr w:rsidR="00BA2BBD" w14:paraId="0C5DBBDD" w14:textId="77777777">
        <w:trPr>
          <w:trHeight w:val="270"/>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A18DE5" w14:textId="77777777" w:rsidR="00BA2BBD" w:rsidRDefault="005A5F20">
            <w:pPr>
              <w:widowControl w:val="0"/>
              <w:spacing w:after="0" w:line="240" w:lineRule="auto"/>
              <w:jc w:val="right"/>
            </w:pPr>
            <w:r>
              <w:rPr>
                <w:rFonts w:ascii="Arial CE" w:eastAsia="Arial CE" w:hAnsi="Arial CE" w:cs="Arial CE"/>
                <w:sz w:val="16"/>
                <w:szCs w:val="16"/>
              </w:rPr>
              <w:t>334</w:t>
            </w:r>
          </w:p>
        </w:tc>
        <w:tc>
          <w:tcPr>
            <w:tcW w:w="501" w:type="dxa"/>
            <w:tcBorders>
              <w:top w:val="single" w:sz="4" w:space="0" w:color="000000"/>
              <w:bottom w:val="single" w:sz="4" w:space="0" w:color="000000"/>
              <w:right w:val="single" w:sz="4" w:space="0" w:color="000000"/>
            </w:tcBorders>
            <w:shd w:val="clear" w:color="auto" w:fill="auto"/>
            <w:vAlign w:val="bottom"/>
          </w:tcPr>
          <w:p w14:paraId="32CD6947" w14:textId="77777777" w:rsidR="00BA2BBD" w:rsidRDefault="005A5F20">
            <w:pPr>
              <w:widowControl w:val="0"/>
              <w:spacing w:after="0" w:line="240" w:lineRule="auto"/>
            </w:pPr>
            <w:r>
              <w:rPr>
                <w:rFonts w:ascii="Arial CE" w:eastAsia="Arial CE" w:hAnsi="Arial CE" w:cs="Arial CE"/>
                <w:sz w:val="16"/>
                <w:szCs w:val="16"/>
              </w:rPr>
              <w:t>776</w:t>
            </w:r>
          </w:p>
        </w:tc>
        <w:tc>
          <w:tcPr>
            <w:tcW w:w="1380" w:type="dxa"/>
            <w:tcBorders>
              <w:top w:val="single" w:sz="4" w:space="0" w:color="000000"/>
              <w:bottom w:val="single" w:sz="4" w:space="0" w:color="000000"/>
              <w:right w:val="single" w:sz="4" w:space="0" w:color="000000"/>
            </w:tcBorders>
            <w:shd w:val="clear" w:color="auto" w:fill="auto"/>
            <w:vAlign w:val="bottom"/>
          </w:tcPr>
          <w:p w14:paraId="0D4C8F87" w14:textId="77777777" w:rsidR="00BA2BBD" w:rsidRDefault="005A5F20">
            <w:pPr>
              <w:widowControl w:val="0"/>
              <w:spacing w:after="0" w:line="240" w:lineRule="auto"/>
            </w:pPr>
            <w:r>
              <w:rPr>
                <w:rFonts w:ascii="Arial CE" w:eastAsia="Arial CE" w:hAnsi="Arial CE" w:cs="Arial CE"/>
                <w:sz w:val="16"/>
                <w:szCs w:val="16"/>
              </w:rPr>
              <w:t>776099112 SPC</w:t>
            </w:r>
          </w:p>
        </w:tc>
        <w:tc>
          <w:tcPr>
            <w:tcW w:w="6801" w:type="dxa"/>
            <w:tcBorders>
              <w:top w:val="single" w:sz="4" w:space="0" w:color="000000"/>
              <w:bottom w:val="single" w:sz="4" w:space="0" w:color="000000"/>
              <w:right w:val="single" w:sz="4" w:space="0" w:color="000000"/>
            </w:tcBorders>
            <w:shd w:val="clear" w:color="auto" w:fill="auto"/>
            <w:vAlign w:val="bottom"/>
          </w:tcPr>
          <w:p w14:paraId="4D2AF380" w14:textId="77777777" w:rsidR="00BA2BBD" w:rsidRDefault="005A5F20">
            <w:pPr>
              <w:widowControl w:val="0"/>
              <w:spacing w:after="0" w:line="240" w:lineRule="auto"/>
            </w:pPr>
            <w:r>
              <w:rPr>
                <w:rFonts w:ascii="Arial CE" w:eastAsia="Arial CE" w:hAnsi="Arial CE" w:cs="Arial CE"/>
                <w:sz w:val="16"/>
                <w:szCs w:val="16"/>
              </w:rPr>
              <w:t>D+M Elektrostaticky vodivý vinyl - vestavba - Podlaha v 2. NP - Specifikace dle PD - KL-P18</w:t>
            </w:r>
          </w:p>
        </w:tc>
        <w:tc>
          <w:tcPr>
            <w:tcW w:w="699" w:type="dxa"/>
            <w:tcBorders>
              <w:top w:val="single" w:sz="4" w:space="0" w:color="000000"/>
              <w:bottom w:val="single" w:sz="4" w:space="0" w:color="000000"/>
              <w:right w:val="single" w:sz="4" w:space="0" w:color="000000"/>
            </w:tcBorders>
            <w:shd w:val="clear" w:color="auto" w:fill="auto"/>
            <w:vAlign w:val="bottom"/>
          </w:tcPr>
          <w:p w14:paraId="03CC5DF4" w14:textId="77777777" w:rsidR="00BA2BBD" w:rsidRDefault="005A5F20">
            <w:pPr>
              <w:widowControl w:val="0"/>
              <w:spacing w:after="0" w:line="240" w:lineRule="auto"/>
            </w:pPr>
            <w:r>
              <w:rPr>
                <w:rFonts w:ascii="Arial CE" w:eastAsia="Arial CE" w:hAnsi="Arial CE" w:cs="Arial CE"/>
                <w:sz w:val="16"/>
                <w:szCs w:val="16"/>
              </w:rPr>
              <w:t>m2</w:t>
            </w:r>
          </w:p>
        </w:tc>
        <w:tc>
          <w:tcPr>
            <w:tcW w:w="960" w:type="dxa"/>
            <w:tcBorders>
              <w:top w:val="single" w:sz="4" w:space="0" w:color="000000"/>
              <w:bottom w:val="single" w:sz="4" w:space="0" w:color="000000"/>
              <w:right w:val="single" w:sz="4" w:space="0" w:color="000000"/>
            </w:tcBorders>
            <w:shd w:val="clear" w:color="auto" w:fill="auto"/>
            <w:vAlign w:val="bottom"/>
          </w:tcPr>
          <w:p w14:paraId="523D150F" w14:textId="77777777" w:rsidR="00BA2BBD" w:rsidRDefault="005A5F20">
            <w:pPr>
              <w:widowControl w:val="0"/>
              <w:spacing w:after="0" w:line="240" w:lineRule="auto"/>
              <w:jc w:val="right"/>
            </w:pPr>
            <w:r>
              <w:rPr>
                <w:rFonts w:ascii="Arial CE" w:eastAsia="Arial CE" w:hAnsi="Arial CE" w:cs="Arial CE"/>
                <w:sz w:val="16"/>
                <w:szCs w:val="16"/>
              </w:rPr>
              <w:t>29,24</w:t>
            </w:r>
          </w:p>
        </w:tc>
      </w:tr>
    </w:tbl>
    <w:p w14:paraId="02FCD7D8" w14:textId="77777777" w:rsidR="00BA2BBD" w:rsidRDefault="00BA2BBD">
      <w:pPr>
        <w:spacing w:after="0"/>
        <w:ind w:left="425"/>
        <w:rPr>
          <w:rFonts w:ascii="Arial" w:eastAsia="Arial" w:hAnsi="Arial" w:cs="Arial"/>
        </w:rPr>
      </w:pPr>
    </w:p>
    <w:p w14:paraId="38F122AE" w14:textId="77777777" w:rsidR="00BA2BBD" w:rsidRDefault="005A5F20">
      <w:pPr>
        <w:spacing w:after="0"/>
        <w:ind w:left="425"/>
      </w:pPr>
      <w:r>
        <w:rPr>
          <w:rFonts w:ascii="Arial" w:eastAsia="Arial" w:hAnsi="Arial" w:cs="Arial"/>
        </w:rPr>
        <w:t>Dále sumární vzorec chybně nabírá položku č. 336, kdy je tato položka do celkového součtu oddílu započtena dvakrát. Žádáme o opravu.</w:t>
      </w:r>
    </w:p>
    <w:p w14:paraId="15CC434F" w14:textId="77777777" w:rsidR="00BA2BBD" w:rsidRDefault="005A5F20">
      <w:pPr>
        <w:rPr>
          <w:color w:val="FF0000"/>
        </w:rPr>
      </w:pPr>
      <w:r>
        <w:rPr>
          <w:color w:val="FF0000"/>
        </w:rPr>
        <w:t>TEO: Ve VV vzorce op</w:t>
      </w:r>
      <w:r>
        <w:rPr>
          <w:color w:val="FF0000"/>
        </w:rPr>
        <w:t>raveny.</w:t>
      </w:r>
    </w:p>
    <w:p w14:paraId="583EECDD" w14:textId="77777777" w:rsidR="00BA2BBD" w:rsidRDefault="005A5F20">
      <w:pPr>
        <w:numPr>
          <w:ilvl w:val="0"/>
          <w:numId w:val="1"/>
        </w:numPr>
        <w:pBdr>
          <w:top w:val="nil"/>
          <w:left w:val="nil"/>
          <w:bottom w:val="nil"/>
          <w:right w:val="nil"/>
          <w:between w:val="nil"/>
        </w:pBdr>
        <w:ind w:left="426"/>
      </w:pPr>
      <w:r>
        <w:rPr>
          <w:rFonts w:ascii="Arial" w:eastAsia="Arial" w:hAnsi="Arial" w:cs="Arial"/>
          <w:color w:val="000000"/>
        </w:rPr>
        <w:t>Prosíme o doplnění technické specifikace případně o uvedení referenčního výrobku pro rampové osvětlení:</w:t>
      </w:r>
    </w:p>
    <w:tbl>
      <w:tblPr>
        <w:tblStyle w:val="a3"/>
        <w:tblW w:w="9970" w:type="dxa"/>
        <w:tblInd w:w="0" w:type="dxa"/>
        <w:tblLayout w:type="fixed"/>
        <w:tblLook w:val="0400" w:firstRow="0" w:lastRow="0" w:firstColumn="0" w:lastColumn="0" w:noHBand="0" w:noVBand="1"/>
      </w:tblPr>
      <w:tblGrid>
        <w:gridCol w:w="398"/>
        <w:gridCol w:w="407"/>
        <w:gridCol w:w="1373"/>
        <w:gridCol w:w="6195"/>
        <w:gridCol w:w="635"/>
        <w:gridCol w:w="962"/>
      </w:tblGrid>
      <w:tr w:rsidR="00BA2BBD" w14:paraId="790DF4E9" w14:textId="77777777">
        <w:trPr>
          <w:trHeight w:val="366"/>
        </w:trPr>
        <w:tc>
          <w:tcPr>
            <w:tcW w:w="39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11B8D9" w14:textId="77777777" w:rsidR="00BA2BBD" w:rsidRDefault="005A5F20">
            <w:pPr>
              <w:widowControl w:val="0"/>
              <w:spacing w:after="0" w:line="240" w:lineRule="auto"/>
              <w:jc w:val="right"/>
            </w:pPr>
            <w:r>
              <w:rPr>
                <w:rFonts w:ascii="Arial" w:eastAsia="Arial" w:hAnsi="Arial" w:cs="Arial"/>
                <w:sz w:val="16"/>
                <w:szCs w:val="16"/>
              </w:rPr>
              <w:t>16</w:t>
            </w:r>
          </w:p>
        </w:tc>
        <w:tc>
          <w:tcPr>
            <w:tcW w:w="407" w:type="dxa"/>
            <w:tcBorders>
              <w:top w:val="single" w:sz="4" w:space="0" w:color="000000"/>
              <w:bottom w:val="single" w:sz="4" w:space="0" w:color="000000"/>
              <w:right w:val="single" w:sz="4" w:space="0" w:color="000000"/>
            </w:tcBorders>
            <w:shd w:val="clear" w:color="auto" w:fill="auto"/>
            <w:vAlign w:val="bottom"/>
          </w:tcPr>
          <w:p w14:paraId="1FED1927" w14:textId="77777777" w:rsidR="00BA2BBD" w:rsidRDefault="005A5F20">
            <w:pPr>
              <w:widowControl w:val="0"/>
              <w:spacing w:after="0" w:line="240" w:lineRule="auto"/>
            </w:pPr>
            <w:r>
              <w:rPr>
                <w:rFonts w:ascii="Arial CE" w:eastAsia="Arial CE" w:hAnsi="Arial CE" w:cs="Arial CE"/>
                <w:sz w:val="16"/>
                <w:szCs w:val="16"/>
              </w:rPr>
              <w:t>741</w:t>
            </w:r>
          </w:p>
        </w:tc>
        <w:tc>
          <w:tcPr>
            <w:tcW w:w="1373" w:type="dxa"/>
            <w:tcBorders>
              <w:top w:val="single" w:sz="4" w:space="0" w:color="000000"/>
              <w:bottom w:val="single" w:sz="4" w:space="0" w:color="000000"/>
              <w:right w:val="single" w:sz="4" w:space="0" w:color="000000"/>
            </w:tcBorders>
            <w:shd w:val="clear" w:color="auto" w:fill="auto"/>
            <w:vAlign w:val="bottom"/>
          </w:tcPr>
          <w:p w14:paraId="65EAA91C" w14:textId="77777777" w:rsidR="00BA2BBD" w:rsidRDefault="005A5F20">
            <w:pPr>
              <w:widowControl w:val="0"/>
              <w:spacing w:after="0" w:line="240" w:lineRule="auto"/>
            </w:pPr>
            <w:r>
              <w:rPr>
                <w:rFonts w:ascii="Arial CE" w:eastAsia="Arial CE" w:hAnsi="Arial CE" w:cs="Arial CE"/>
                <w:sz w:val="16"/>
                <w:szCs w:val="16"/>
              </w:rPr>
              <w:t>741999116 SPC</w:t>
            </w:r>
          </w:p>
        </w:tc>
        <w:tc>
          <w:tcPr>
            <w:tcW w:w="6195" w:type="dxa"/>
            <w:tcBorders>
              <w:top w:val="single" w:sz="4" w:space="0" w:color="000000"/>
              <w:bottom w:val="single" w:sz="4" w:space="0" w:color="000000"/>
              <w:right w:val="single" w:sz="4" w:space="0" w:color="000000"/>
            </w:tcBorders>
            <w:shd w:val="clear" w:color="auto" w:fill="auto"/>
            <w:vAlign w:val="bottom"/>
          </w:tcPr>
          <w:p w14:paraId="7666887F" w14:textId="77777777" w:rsidR="00BA2BBD" w:rsidRDefault="005A5F20">
            <w:pPr>
              <w:widowControl w:val="0"/>
              <w:spacing w:after="0" w:line="240" w:lineRule="auto"/>
            </w:pPr>
            <w:r>
              <w:rPr>
                <w:rFonts w:ascii="Arial" w:eastAsia="Arial" w:hAnsi="Arial" w:cs="Arial"/>
                <w:color w:val="000000"/>
                <w:sz w:val="16"/>
                <w:szCs w:val="16"/>
              </w:rPr>
              <w:t>D+M Rampové osvětlení vč. konstrukce a svítidel R1/R2, černé provedení - Specifikace dle PD</w:t>
            </w:r>
          </w:p>
        </w:tc>
        <w:tc>
          <w:tcPr>
            <w:tcW w:w="635" w:type="dxa"/>
            <w:tcBorders>
              <w:top w:val="single" w:sz="4" w:space="0" w:color="000000"/>
              <w:bottom w:val="single" w:sz="4" w:space="0" w:color="000000"/>
              <w:right w:val="single" w:sz="4" w:space="0" w:color="000000"/>
            </w:tcBorders>
            <w:shd w:val="clear" w:color="auto" w:fill="auto"/>
            <w:vAlign w:val="bottom"/>
          </w:tcPr>
          <w:p w14:paraId="568F7941" w14:textId="77777777" w:rsidR="00BA2BBD" w:rsidRDefault="005A5F20">
            <w:pPr>
              <w:widowControl w:val="0"/>
              <w:spacing w:after="0" w:line="240" w:lineRule="auto"/>
            </w:pPr>
            <w:r>
              <w:rPr>
                <w:rFonts w:ascii="Arial" w:eastAsia="Arial" w:hAnsi="Arial" w:cs="Arial"/>
                <w:color w:val="000000"/>
                <w:sz w:val="16"/>
                <w:szCs w:val="16"/>
              </w:rPr>
              <w:t>sada</w:t>
            </w:r>
          </w:p>
        </w:tc>
        <w:tc>
          <w:tcPr>
            <w:tcW w:w="962" w:type="dxa"/>
            <w:tcBorders>
              <w:top w:val="single" w:sz="4" w:space="0" w:color="000000"/>
              <w:bottom w:val="single" w:sz="4" w:space="0" w:color="000000"/>
              <w:right w:val="single" w:sz="4" w:space="0" w:color="000000"/>
            </w:tcBorders>
            <w:shd w:val="clear" w:color="auto" w:fill="auto"/>
            <w:vAlign w:val="bottom"/>
          </w:tcPr>
          <w:p w14:paraId="592B9C09" w14:textId="77777777" w:rsidR="00BA2BBD" w:rsidRDefault="005A5F20">
            <w:pPr>
              <w:widowControl w:val="0"/>
              <w:spacing w:after="0" w:line="240" w:lineRule="auto"/>
              <w:jc w:val="right"/>
            </w:pPr>
            <w:r>
              <w:rPr>
                <w:rFonts w:ascii="Arial CE" w:eastAsia="Arial CE" w:hAnsi="Arial CE" w:cs="Arial CE"/>
                <w:sz w:val="16"/>
                <w:szCs w:val="16"/>
              </w:rPr>
              <w:t>1,000</w:t>
            </w:r>
          </w:p>
        </w:tc>
      </w:tr>
    </w:tbl>
    <w:p w14:paraId="27798136" w14:textId="77777777" w:rsidR="00BA2BBD" w:rsidRDefault="00BA2BBD">
      <w:pPr>
        <w:pBdr>
          <w:top w:val="nil"/>
          <w:left w:val="nil"/>
          <w:bottom w:val="nil"/>
          <w:right w:val="nil"/>
          <w:between w:val="nil"/>
        </w:pBdr>
        <w:spacing w:after="0"/>
        <w:ind w:left="720"/>
        <w:rPr>
          <w:color w:val="000000"/>
        </w:rPr>
      </w:pPr>
    </w:p>
    <w:p w14:paraId="7B5EC41D" w14:textId="77777777" w:rsidR="00BA2BBD" w:rsidRDefault="005A5F20">
      <w:pPr>
        <w:pBdr>
          <w:top w:val="nil"/>
          <w:left w:val="nil"/>
          <w:bottom w:val="nil"/>
          <w:right w:val="nil"/>
          <w:between w:val="nil"/>
        </w:pBdr>
        <w:ind w:left="426"/>
        <w:rPr>
          <w:rFonts w:ascii="Arial" w:eastAsia="Arial" w:hAnsi="Arial" w:cs="Arial"/>
          <w:color w:val="000000"/>
        </w:rPr>
      </w:pPr>
      <w:r>
        <w:rPr>
          <w:rFonts w:ascii="Arial" w:eastAsia="Arial" w:hAnsi="Arial" w:cs="Arial"/>
          <w:color w:val="000000"/>
        </w:rPr>
        <w:t>Jedná se o speciální jevištní osvětlení? Jaké parametry má uvedené osvětlení splňovat? Uvedené parametry v PD uvádějí běžný typ svítidla. Pokud je ale požadováno jevištní osvětlení, je potřeba doplnit další parametry.</w:t>
      </w:r>
    </w:p>
    <w:p w14:paraId="7D968205" w14:textId="77777777" w:rsidR="00BA2BBD" w:rsidRDefault="005A5F20">
      <w:pPr>
        <w:rPr>
          <w:color w:val="FF0000"/>
        </w:rPr>
      </w:pPr>
      <w:r>
        <w:rPr>
          <w:color w:val="FF0000"/>
        </w:rPr>
        <w:t>TEO:</w:t>
      </w:r>
      <w:r>
        <w:rPr>
          <w:color w:val="FF0000"/>
        </w:rPr>
        <w:t xml:space="preserve"> Specifikace osvětlení (minimální </w:t>
      </w:r>
      <w:r>
        <w:rPr>
          <w:color w:val="FF0000"/>
        </w:rPr>
        <w:t>požadované parametry) doplněna do seznamu strojů a zařízení -D.1.4.7.c.1_a. SEZNAM STROJU A ZARIZENI (str. 32 - 34).</w:t>
      </w:r>
      <w:r>
        <w:rPr>
          <w:color w:val="FF0000"/>
        </w:rPr>
        <w:br/>
      </w:r>
    </w:p>
    <w:p w14:paraId="1206F2D4" w14:textId="77777777" w:rsidR="00BA2BBD" w:rsidRDefault="00BA2BBD">
      <w:pPr>
        <w:rPr>
          <w:color w:val="FF0000"/>
        </w:rPr>
      </w:pPr>
    </w:p>
    <w:p w14:paraId="2F9E6FFB" w14:textId="77777777" w:rsidR="00BA2BBD" w:rsidRDefault="005A5F20">
      <w:pPr>
        <w:rPr>
          <w:rFonts w:ascii="Arial" w:eastAsia="Arial" w:hAnsi="Arial" w:cs="Arial"/>
        </w:rPr>
      </w:pPr>
      <w:r>
        <w:rPr>
          <w:rFonts w:ascii="Arial" w:eastAsia="Arial" w:hAnsi="Arial" w:cs="Arial"/>
        </w:rPr>
        <w:t>15. Dveře KL-D401 jsou ve výpisu dveří uvedeny jako dřevěné s HPL laminátem, ale ve VV jsou uvedeny jako ocelové. Prosíme o prověření a o</w:t>
      </w:r>
      <w:r>
        <w:rPr>
          <w:rFonts w:ascii="Arial" w:eastAsia="Arial" w:hAnsi="Arial" w:cs="Arial"/>
        </w:rPr>
        <w:t>dstranění tohoto rozporu. Jaký typ dveří má být oceněn?</w:t>
      </w:r>
    </w:p>
    <w:p w14:paraId="6C3AB62A" w14:textId="77777777" w:rsidR="00BA2BBD" w:rsidRDefault="005A5F20">
      <w:pPr>
        <w:rPr>
          <w:color w:val="FF0000"/>
        </w:rPr>
      </w:pPr>
      <w:r>
        <w:rPr>
          <w:color w:val="FF0000"/>
        </w:rPr>
        <w:t>TEO: Ve VV pol. č. 166 opraven materiál dveří na dřevěné dle PD.</w:t>
      </w:r>
    </w:p>
    <w:p w14:paraId="236B5C20" w14:textId="77777777" w:rsidR="00BA2BBD" w:rsidRDefault="00BA2BBD"/>
    <w:sectPr w:rsidR="00BA2BBD">
      <w:headerReference w:type="default" r:id="rId8"/>
      <w:pgSz w:w="11906" w:h="16838"/>
      <w:pgMar w:top="1655" w:right="1417" w:bottom="1276" w:left="1417" w:header="85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83326" w14:textId="77777777" w:rsidR="005A5F20" w:rsidRDefault="005A5F20">
      <w:pPr>
        <w:spacing w:after="0" w:line="240" w:lineRule="auto"/>
      </w:pPr>
      <w:r>
        <w:separator/>
      </w:r>
    </w:p>
  </w:endnote>
  <w:endnote w:type="continuationSeparator" w:id="0">
    <w:p w14:paraId="213EB241" w14:textId="77777777" w:rsidR="005A5F20" w:rsidRDefault="005A5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00"/>
    <w:family w:val="auto"/>
    <w:pitch w:val="default"/>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D191E" w14:textId="77777777" w:rsidR="005A5F20" w:rsidRDefault="005A5F20">
      <w:pPr>
        <w:spacing w:after="0" w:line="240" w:lineRule="auto"/>
      </w:pPr>
      <w:r>
        <w:separator/>
      </w:r>
    </w:p>
  </w:footnote>
  <w:footnote w:type="continuationSeparator" w:id="0">
    <w:p w14:paraId="02CF8970" w14:textId="77777777" w:rsidR="005A5F20" w:rsidRDefault="005A5F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C7C56" w14:textId="77777777" w:rsidR="00BA2BBD" w:rsidRDefault="005A5F20">
    <w:pPr>
      <w:pBdr>
        <w:top w:val="nil"/>
        <w:left w:val="nil"/>
        <w:bottom w:val="nil"/>
        <w:right w:val="nil"/>
        <w:between w:val="nil"/>
      </w:pBdr>
      <w:tabs>
        <w:tab w:val="center" w:pos="4536"/>
        <w:tab w:val="right" w:pos="9072"/>
      </w:tabs>
      <w:rPr>
        <w:b/>
        <w:color w:val="FF0000"/>
        <w:sz w:val="28"/>
        <w:szCs w:val="28"/>
      </w:rPr>
    </w:pPr>
    <w:r>
      <w:rPr>
        <w:b/>
        <w:color w:val="FF0000"/>
        <w:sz w:val="28"/>
        <w:szCs w:val="28"/>
      </w:rPr>
      <w:t xml:space="preserve">Dotaz č. </w:t>
    </w:r>
    <w:r>
      <w:rPr>
        <w:b/>
        <w:color w:val="FF0000"/>
        <w:sz w:val="28"/>
        <w:szCs w:val="28"/>
      </w:rPr>
      <w:t>11</w:t>
    </w:r>
    <w:r>
      <w:rPr>
        <w:b/>
        <w:color w:val="FF0000"/>
        <w:sz w:val="28"/>
        <w:szCs w:val="28"/>
      </w:rPr>
      <w:t xml:space="preserve"> (E-ZAK 26.3.2024)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05565"/>
    <w:multiLevelType w:val="hybridMultilevel"/>
    <w:tmpl w:val="07A0C0CC"/>
    <w:lvl w:ilvl="0" w:tplc="54F23B3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34F01CBC"/>
    <w:multiLevelType w:val="multilevel"/>
    <w:tmpl w:val="13E207AC"/>
    <w:lvl w:ilvl="0">
      <w:start w:val="9"/>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BBD"/>
    <w:rsid w:val="002904DD"/>
    <w:rsid w:val="005A5F20"/>
    <w:rsid w:val="00BA2BBD"/>
    <w:rsid w:val="00C426EF"/>
    <w:rsid w:val="00DE66B9"/>
    <w:rsid w:val="00EC1D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8B31C"/>
  <w15:docId w15:val="{AB1A910D-0E16-49EF-96F2-F9814765F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4608D2"/>
    <w:pPr>
      <w:spacing w:beforeAutospacing="1" w:afterAutospacing="1" w:line="240" w:lineRule="auto"/>
      <w:outlineLvl w:val="0"/>
    </w:pPr>
    <w:rPr>
      <w:rFonts w:ascii="Times New Roman" w:eastAsia="Times New Roman" w:hAnsi="Times New Roman" w:cs="Times New Roman"/>
      <w:b/>
      <w:bCs/>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customStyle="1" w:styleId="Nadpis1Char">
    <w:name w:val="Nadpis 1 Char"/>
    <w:basedOn w:val="Standardnpsmoodstavce"/>
    <w:link w:val="Nadpis1"/>
    <w:uiPriority w:val="9"/>
    <w:qFormat/>
    <w:rsid w:val="004608D2"/>
    <w:rPr>
      <w:rFonts w:ascii="Times New Roman" w:eastAsia="Times New Roman" w:hAnsi="Times New Roman" w:cs="Times New Roman"/>
      <w:b/>
      <w:bCs/>
      <w:kern w:val="2"/>
      <w:sz w:val="48"/>
      <w:szCs w:val="48"/>
      <w:lang w:eastAsia="cs-CZ"/>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Odstavecseseznamem">
    <w:name w:val="List Paragraph"/>
    <w:basedOn w:val="Normln"/>
    <w:uiPriority w:val="34"/>
    <w:qFormat/>
    <w:rsid w:val="0076353E"/>
    <w:pPr>
      <w:ind w:left="720"/>
      <w:contextualSpacing/>
    </w:pPr>
  </w:style>
  <w:style w:type="paragraph" w:customStyle="1" w:styleId="Default">
    <w:name w:val="Default"/>
    <w:qFormat/>
    <w:rsid w:val="004608D2"/>
    <w:rPr>
      <w:color w:val="000000"/>
      <w:sz w:val="24"/>
      <w:szCs w:val="24"/>
    </w:rPr>
  </w:style>
  <w:style w:type="paragraph" w:customStyle="1" w:styleId="Zhlavazpat">
    <w:name w:val="Záhlaví a zápatí"/>
    <w:basedOn w:val="Normln"/>
    <w:qFormat/>
    <w:pPr>
      <w:suppressLineNumbers/>
      <w:tabs>
        <w:tab w:val="center" w:pos="4536"/>
        <w:tab w:val="right" w:pos="9072"/>
      </w:tabs>
    </w:pPr>
  </w:style>
  <w:style w:type="paragraph" w:styleId="Zhlav">
    <w:name w:val="header"/>
    <w:basedOn w:val="Zhlavazpat"/>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paragraph" w:styleId="Zpat">
    <w:name w:val="footer"/>
    <w:basedOn w:val="Normln"/>
    <w:link w:val="ZpatChar"/>
    <w:uiPriority w:val="99"/>
    <w:unhideWhenUsed/>
    <w:rsid w:val="00EC1DAA"/>
    <w:pPr>
      <w:tabs>
        <w:tab w:val="center" w:pos="4536"/>
        <w:tab w:val="right" w:pos="9072"/>
      </w:tabs>
      <w:spacing w:after="0" w:line="240" w:lineRule="auto"/>
    </w:pPr>
  </w:style>
  <w:style w:type="character" w:customStyle="1" w:styleId="ZpatChar">
    <w:name w:val="Zápatí Char"/>
    <w:basedOn w:val="Standardnpsmoodstavce"/>
    <w:link w:val="Zpat"/>
    <w:uiPriority w:val="99"/>
    <w:rsid w:val="00EC1DAA"/>
  </w:style>
  <w:style w:type="character" w:styleId="Odkaznakoment">
    <w:name w:val="annotation reference"/>
    <w:basedOn w:val="Standardnpsmoodstavce"/>
    <w:uiPriority w:val="99"/>
    <w:semiHidden/>
    <w:unhideWhenUsed/>
    <w:rsid w:val="00EC1DAA"/>
    <w:rPr>
      <w:sz w:val="16"/>
      <w:szCs w:val="16"/>
    </w:rPr>
  </w:style>
  <w:style w:type="paragraph" w:styleId="Textkomente">
    <w:name w:val="annotation text"/>
    <w:basedOn w:val="Normln"/>
    <w:link w:val="TextkomenteChar"/>
    <w:uiPriority w:val="99"/>
    <w:semiHidden/>
    <w:unhideWhenUsed/>
    <w:rsid w:val="00EC1DAA"/>
    <w:pPr>
      <w:spacing w:line="240" w:lineRule="auto"/>
    </w:pPr>
    <w:rPr>
      <w:rFonts w:asciiTheme="minorHAnsi" w:eastAsiaTheme="minorHAnsi" w:hAnsiTheme="minorHAnsi" w:cstheme="minorBidi"/>
      <w:kern w:val="2"/>
      <w:sz w:val="20"/>
      <w:szCs w:val="20"/>
      <w:lang w:eastAsia="en-US"/>
      <w14:ligatures w14:val="standardContextual"/>
    </w:rPr>
  </w:style>
  <w:style w:type="character" w:customStyle="1" w:styleId="TextkomenteChar">
    <w:name w:val="Text komentáře Char"/>
    <w:basedOn w:val="Standardnpsmoodstavce"/>
    <w:link w:val="Textkomente"/>
    <w:uiPriority w:val="99"/>
    <w:semiHidden/>
    <w:rsid w:val="00EC1DAA"/>
    <w:rPr>
      <w:rFonts w:asciiTheme="minorHAnsi" w:eastAsiaTheme="minorHAnsi" w:hAnsiTheme="minorHAnsi" w:cstheme="minorBidi"/>
      <w:kern w:val="2"/>
      <w:sz w:val="20"/>
      <w:szCs w:val="20"/>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KVEhBm30C9z6vi2fKAR3x8kNaw==">CgMxLjA4AGonChRzdWdnZXN0LjZwbDF0Z24xeGg3NRIPxaB0xJtww6FuIE3DoXRsaicKFHN1Z2dlc3QucnJnbDdia3FsMGw3Eg/FoHTEm3DDoW4gTcOhdGxqJgoTc3VnZ2VzdC5hb3RqM2tnbnVzMBIPxaB0xJtww6FuIE3DoXRsciExSXRhYzBKOWlWc0tQQnIwajQ4TngweUVTNXhyYktwdDU=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1891</Words>
  <Characters>11159</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Hanák</dc:creator>
  <cp:lastModifiedBy>Štěpán Mátl</cp:lastModifiedBy>
  <cp:revision>3</cp:revision>
  <dcterms:created xsi:type="dcterms:W3CDTF">2024-03-07T06:25:00Z</dcterms:created>
  <dcterms:modified xsi:type="dcterms:W3CDTF">2024-04-12T07:05:00Z</dcterms:modified>
</cp:coreProperties>
</file>