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11193" w:rsidRDefault="00137D50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eastAsia="Verdana" w:hAnsi="Verdana" w:cs="Verdana"/>
          <w:b/>
          <w:i/>
          <w:color w:val="000000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Na základě vyhlášení veřejné soutěže na výše uvedenou zakázku uveřejněnou ve Věstníku veřejných zakázek pod číslem Z2024-007867 dne 20. 2. 2024 Vás </w:t>
      </w:r>
      <w:r>
        <w:rPr>
          <w:rFonts w:ascii="Verdana" w:eastAsia="Verdana" w:hAnsi="Verdana" w:cs="Verdana"/>
          <w:color w:val="000000"/>
          <w:sz w:val="18"/>
          <w:szCs w:val="18"/>
        </w:rPr>
        <w:t>žádáme o vysvětlení zadávací dokumentace.</w:t>
      </w:r>
    </w:p>
    <w:p w14:paraId="00000002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1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03" w14:textId="77777777" w:rsidR="00E11193" w:rsidRDefault="00137D50">
      <w:pPr>
        <w:rPr>
          <w:rFonts w:ascii="Verdana" w:eastAsia="Verdana" w:hAnsi="Verdana" w:cs="Verdana"/>
          <w:i/>
          <w:color w:val="000000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Po prostudování položkového rozpočtu jsme zjistili, že</w:t>
      </w:r>
      <w:r>
        <w:rPr>
          <w:rFonts w:ascii="Verdana" w:eastAsia="Verdana" w:hAnsi="Verdana" w:cs="Verdana"/>
          <w:sz w:val="18"/>
          <w:szCs w:val="18"/>
        </w:rPr>
        <w:t xml:space="preserve"> zadavatel použil nedostatečný popis položek, většinou se zjednodušeně odkazuje na PD, používá „měrné jednotky“ sada. Položkový rozpočet je v popisech položek nedostatečný, zmatečný, kdy uchazeč neví, co by měl přesně v dané položce ocenit, např. položky t</w:t>
      </w:r>
      <w:r>
        <w:rPr>
          <w:rFonts w:ascii="Verdana" w:eastAsia="Verdana" w:hAnsi="Verdana" w:cs="Verdana"/>
          <w:sz w:val="18"/>
          <w:szCs w:val="18"/>
        </w:rPr>
        <w:t xml:space="preserve">ýkající se krovu, a rozhodně neodpovídá ustanovení § 36 odst. 3 zákona, kdy ukládá zadavateli povinnost poskytnout takové podklady (zadávací dokumentaci), které budou sloužit všem účastníkům zadávacího řízení pro zpracování nabídky. </w:t>
      </w:r>
      <w:r>
        <w:rPr>
          <w:rFonts w:ascii="Verdana" w:eastAsia="Verdana" w:hAnsi="Verdana" w:cs="Verdana"/>
          <w:i/>
          <w:sz w:val="18"/>
          <w:szCs w:val="18"/>
        </w:rPr>
        <w:t>„Zadávací podmínky zada</w:t>
      </w:r>
      <w:r>
        <w:rPr>
          <w:rFonts w:ascii="Verdana" w:eastAsia="Verdana" w:hAnsi="Verdana" w:cs="Verdana"/>
          <w:i/>
          <w:sz w:val="18"/>
          <w:szCs w:val="18"/>
        </w:rPr>
        <w:t>vatel stanoví a poskytne dodavatelům v podrobnostech nezbytných pro účast dodavatele v zadávacím řízení. Zadavatel nesmí přenášet odpovědnost za správnost a úplnost zadávacích podmínek na dodavatele.“</w:t>
      </w:r>
      <w:r>
        <w:rPr>
          <w:rFonts w:ascii="Verdana" w:eastAsia="Verdana" w:hAnsi="Verdana" w:cs="Verdana"/>
          <w:sz w:val="18"/>
          <w:szCs w:val="18"/>
        </w:rPr>
        <w:t xml:space="preserve"> Dále jsou technické podmínky veřejné zakázky na stavebn</w:t>
      </w:r>
      <w:r>
        <w:rPr>
          <w:rFonts w:ascii="Verdana" w:eastAsia="Verdana" w:hAnsi="Verdana" w:cs="Verdana"/>
          <w:sz w:val="18"/>
          <w:szCs w:val="18"/>
        </w:rPr>
        <w:t xml:space="preserve">í práce vymezeny v § 92 zákona: </w:t>
      </w:r>
      <w:r>
        <w:rPr>
          <w:rFonts w:ascii="Verdana" w:eastAsia="Verdana" w:hAnsi="Verdana" w:cs="Verdana"/>
          <w:i/>
          <w:sz w:val="18"/>
          <w:szCs w:val="18"/>
        </w:rPr>
        <w:t xml:space="preserve">„Má se za to, že technické podmínky jsou stanoveny v podrobnostech nezbytných pro účast dodavatele v zadávacím řízení, pokud zadávací dokumentace veřejných zakázek na stavební práce obsahuje </w:t>
      </w:r>
    </w:p>
    <w:p w14:paraId="00000004" w14:textId="77777777" w:rsidR="00E11193" w:rsidRDefault="00137D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i/>
          <w:color w:val="000000"/>
          <w:sz w:val="18"/>
          <w:szCs w:val="18"/>
        </w:rPr>
      </w:pPr>
      <w:r>
        <w:rPr>
          <w:rFonts w:ascii="Verdana" w:eastAsia="Verdana" w:hAnsi="Verdana" w:cs="Verdana"/>
          <w:i/>
          <w:color w:val="000000"/>
          <w:sz w:val="18"/>
          <w:szCs w:val="18"/>
        </w:rPr>
        <w:t>a) dokumentaci v rozsahu stanove</w:t>
      </w:r>
      <w:r>
        <w:rPr>
          <w:rFonts w:ascii="Verdana" w:eastAsia="Verdana" w:hAnsi="Verdana" w:cs="Verdana"/>
          <w:i/>
          <w:color w:val="000000"/>
          <w:sz w:val="18"/>
          <w:szCs w:val="18"/>
        </w:rPr>
        <w:t xml:space="preserve">ném vyhláškou Ministerstva pro místní rozvoj a </w:t>
      </w:r>
    </w:p>
    <w:p w14:paraId="00000005" w14:textId="77777777" w:rsidR="00E11193" w:rsidRDefault="00137D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i/>
          <w:color w:val="000000"/>
          <w:sz w:val="18"/>
          <w:szCs w:val="18"/>
        </w:rPr>
      </w:pPr>
      <w:r>
        <w:rPr>
          <w:rFonts w:ascii="Verdana" w:eastAsia="Verdana" w:hAnsi="Verdana" w:cs="Verdana"/>
          <w:i/>
          <w:color w:val="000000"/>
          <w:sz w:val="18"/>
          <w:szCs w:val="18"/>
        </w:rPr>
        <w:t xml:space="preserve">b) soupis stavebních prací, dodávek a služeb s výkazem výměr v rozsahu stanoveném vyhláškou Ministerstva pro místní rozvoj.“ </w:t>
      </w:r>
    </w:p>
    <w:p w14:paraId="00000006" w14:textId="77777777" w:rsidR="00E11193" w:rsidRDefault="00E111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18"/>
          <w:szCs w:val="18"/>
        </w:rPr>
      </w:pPr>
    </w:p>
    <w:p w14:paraId="00000007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Dále Vyhláška č. 169/2016 Sb., ministerstva pro místní rozvoj v § 2 odst. 2 jasně určuje rozsah dokumentace pro zadání veřejné zakázky na stavební práce, a to: „</w:t>
      </w:r>
      <w:r>
        <w:rPr>
          <w:rFonts w:ascii="Verdana" w:eastAsia="Verdana" w:hAnsi="Verdana" w:cs="Verdana"/>
          <w:i/>
          <w:sz w:val="18"/>
          <w:szCs w:val="18"/>
        </w:rPr>
        <w:t>Dokumentace podle odstavce 1 (dále jen „dokumentace pro zadání stavebních prací“) určuje stavbu</w:t>
      </w:r>
      <w:r>
        <w:rPr>
          <w:rFonts w:ascii="Verdana" w:eastAsia="Verdana" w:hAnsi="Verdana" w:cs="Verdana"/>
          <w:i/>
          <w:sz w:val="18"/>
          <w:szCs w:val="18"/>
        </w:rPr>
        <w:t xml:space="preserve"> v technických, ekonomických a architektonických podrobnostech, které jednoznačně vymezují předmět veřejné zakázky, jeho hmotové, materiálové, stavebně-technické, technologické, dispoziční a provozní vlastnosti, vzhled a jakost, a umožňuje vyhotovit soupis</w:t>
      </w:r>
      <w:r>
        <w:rPr>
          <w:rFonts w:ascii="Verdana" w:eastAsia="Verdana" w:hAnsi="Verdana" w:cs="Verdana"/>
          <w:i/>
          <w:sz w:val="18"/>
          <w:szCs w:val="18"/>
        </w:rPr>
        <w:t xml:space="preserve"> stavebních prací, dodávek a služeb (dále jen „soupis prací“) včetně výkazu výměr.</w:t>
      </w:r>
      <w:r>
        <w:rPr>
          <w:rFonts w:ascii="Verdana" w:eastAsia="Verdana" w:hAnsi="Verdana" w:cs="Verdana"/>
          <w:sz w:val="18"/>
          <w:szCs w:val="18"/>
        </w:rPr>
        <w:t>“</w:t>
      </w:r>
    </w:p>
    <w:p w14:paraId="00000008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Příklady položek uvedených v „měrných jednotkách“ sada:</w:t>
      </w:r>
    </w:p>
    <w:tbl>
      <w:tblPr>
        <w:tblStyle w:val="a"/>
        <w:tblW w:w="970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8"/>
        <w:gridCol w:w="493"/>
        <w:gridCol w:w="1335"/>
        <w:gridCol w:w="6330"/>
        <w:gridCol w:w="683"/>
        <w:gridCol w:w="541"/>
      </w:tblGrid>
      <w:tr w:rsidR="00E11193" w14:paraId="743DA049" w14:textId="77777777">
        <w:trPr>
          <w:trHeight w:val="34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9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A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B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31999901 SPC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C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D+M Vyspravení / dozdění / vyrovnání zdiva po vybouraných </w:t>
            </w:r>
            <w:proofErr w:type="gramStart"/>
            <w:r>
              <w:rPr>
                <w:color w:val="000000"/>
                <w:sz w:val="16"/>
                <w:szCs w:val="16"/>
              </w:rPr>
              <w:t>prostupech - Specifikace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dle PD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D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sada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E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1,000</w:t>
            </w:r>
          </w:p>
        </w:tc>
      </w:tr>
      <w:tr w:rsidR="00E11193" w14:paraId="7B3B1597" w14:textId="77777777">
        <w:trPr>
          <w:trHeight w:val="34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F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0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1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2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" Vyspravení / dozdění / vyrovnání zdiva (nadpraží a ostění) po vybouraných prostupech pro vedení instalací. "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3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4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1,000</w:t>
            </w:r>
          </w:p>
        </w:tc>
      </w:tr>
      <w:tr w:rsidR="00E11193" w14:paraId="24B8327A" w14:textId="77777777">
        <w:trPr>
          <w:trHeight w:val="34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5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6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7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8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" V ceně veškerý materiál a příslušenství nutné pro </w:t>
            </w:r>
            <w:proofErr w:type="gramStart"/>
            <w:r>
              <w:rPr>
                <w:color w:val="000000"/>
                <w:sz w:val="16"/>
                <w:szCs w:val="16"/>
              </w:rPr>
              <w:t>úpravu - zarovnání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do roviny, nutné odsekání, příprava pro omítání, apod. - stávajícího zdiva. "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9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A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E11193" w14:paraId="49752618" w14:textId="77777777">
        <w:trPr>
          <w:trHeight w:val="34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B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C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D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E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" V ceně také přesun hmot / suti " 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F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0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E11193" w14:paraId="2E435444" w14:textId="77777777">
        <w:trPr>
          <w:trHeight w:val="34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1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2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3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31999902 SPC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4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D+M Vyspravení / dozdění zdiva po vybourání napojené </w:t>
            </w:r>
            <w:proofErr w:type="gramStart"/>
            <w:r>
              <w:rPr>
                <w:color w:val="000000"/>
                <w:sz w:val="16"/>
                <w:szCs w:val="16"/>
              </w:rPr>
              <w:t>konstrukce - Specifikace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dle PD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5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sada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6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1,000</w:t>
            </w:r>
          </w:p>
        </w:tc>
      </w:tr>
      <w:tr w:rsidR="00E11193" w14:paraId="68047D9B" w14:textId="77777777">
        <w:trPr>
          <w:trHeight w:val="34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7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8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9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A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" V ceně veškerý materiál a příslušenství nutné pro </w:t>
            </w:r>
            <w:proofErr w:type="gramStart"/>
            <w:r>
              <w:rPr>
                <w:color w:val="000000"/>
                <w:sz w:val="16"/>
                <w:szCs w:val="16"/>
              </w:rPr>
              <w:t>úpravu - zarovnání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do roviny - stávajícího zdiva po vybourání napojeného. "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B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C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1,000</w:t>
            </w:r>
          </w:p>
        </w:tc>
      </w:tr>
      <w:tr w:rsidR="00E11193" w14:paraId="0F539966" w14:textId="77777777">
        <w:trPr>
          <w:trHeight w:val="34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D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E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F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0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" V ceně také přesun hmot / suti " 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1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2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</w:tbl>
    <w:p w14:paraId="00000033" w14:textId="77777777" w:rsidR="00E11193" w:rsidRDefault="00E11193">
      <w:pPr>
        <w:rPr>
          <w:rFonts w:ascii="Verdana" w:eastAsia="Verdana" w:hAnsi="Verdana" w:cs="Verdana"/>
          <w:sz w:val="18"/>
          <w:szCs w:val="18"/>
        </w:rPr>
      </w:pPr>
    </w:p>
    <w:tbl>
      <w:tblPr>
        <w:tblStyle w:val="a0"/>
        <w:tblW w:w="970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07"/>
        <w:gridCol w:w="490"/>
        <w:gridCol w:w="1379"/>
        <w:gridCol w:w="6184"/>
        <w:gridCol w:w="699"/>
        <w:gridCol w:w="541"/>
      </w:tblGrid>
      <w:tr w:rsidR="00E11193" w14:paraId="15309BB9" w14:textId="77777777">
        <w:trPr>
          <w:trHeight w:val="27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4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</w:t>
            </w:r>
          </w:p>
        </w:tc>
        <w:tc>
          <w:tcPr>
            <w:tcW w:w="4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5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014</w:t>
            </w:r>
          </w:p>
        </w:tc>
        <w:tc>
          <w:tcPr>
            <w:tcW w:w="13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6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612135901 SPC</w:t>
            </w:r>
          </w:p>
        </w:tc>
        <w:tc>
          <w:tcPr>
            <w:tcW w:w="6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7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D+M Výplň vysekaných rýh a drážek pro vedení </w:t>
            </w:r>
            <w:proofErr w:type="gramStart"/>
            <w:r>
              <w:rPr>
                <w:color w:val="000000"/>
                <w:sz w:val="16"/>
                <w:szCs w:val="16"/>
              </w:rPr>
              <w:t>instalací - Specifikace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dle PD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8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sada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9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1,000</w:t>
            </w:r>
          </w:p>
        </w:tc>
      </w:tr>
      <w:tr w:rsidR="00E11193" w14:paraId="04D2CE7E" w14:textId="77777777">
        <w:trPr>
          <w:trHeight w:val="27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A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B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C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D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" Hrubá výplň rýh po osazení instalací před hlavními omítkami. "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E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F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1,000</w:t>
            </w:r>
          </w:p>
        </w:tc>
      </w:tr>
      <w:tr w:rsidR="00E11193" w14:paraId="264879CA" w14:textId="77777777">
        <w:trPr>
          <w:trHeight w:val="27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40" w14:textId="77777777" w:rsidR="00E11193" w:rsidRDefault="00137D50">
            <w:pPr>
              <w:widowControl w:val="0"/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41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42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43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" V ceně provedení zahození rýh a veškeré práce s tím související vč. přesunu hmot."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44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45" w14:textId="77777777" w:rsidR="00E11193" w:rsidRDefault="00137D50">
            <w:pPr>
              <w:widowControl w:val="0"/>
              <w:spacing w:after="0" w:line="240" w:lineRule="auto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</w:tbl>
    <w:p w14:paraId="00000046" w14:textId="77777777" w:rsidR="00E11193" w:rsidRDefault="00E11193">
      <w:pPr>
        <w:rPr>
          <w:rFonts w:ascii="Verdana" w:eastAsia="Verdana" w:hAnsi="Verdana" w:cs="Verdana"/>
          <w:sz w:val="18"/>
          <w:szCs w:val="18"/>
        </w:rPr>
      </w:pPr>
    </w:p>
    <w:p w14:paraId="00000047" w14:textId="77777777" w:rsidR="00E11193" w:rsidRDefault="00137D50">
      <w:pPr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Upraví zadavatel popis položek, aby byly jednoznačné a mohly být správně ocenitelné? </w:t>
      </w:r>
    </w:p>
    <w:p w14:paraId="00000048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 xml:space="preserve">TEO: </w:t>
      </w:r>
    </w:p>
    <w:p w14:paraId="00000049" w14:textId="77777777" w:rsidR="00E11193" w:rsidRDefault="00137D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 xml:space="preserve">Projektová dokumentace je vypracovaná v souladu s vyhláškou č.499/2006 </w:t>
      </w:r>
      <w:proofErr w:type="spellStart"/>
      <w:r>
        <w:rPr>
          <w:rFonts w:ascii="Verdana" w:eastAsia="Verdana" w:hAnsi="Verdana" w:cs="Verdana"/>
          <w:color w:val="FF0000"/>
          <w:sz w:val="18"/>
          <w:szCs w:val="18"/>
        </w:rPr>
        <w:t>Sb</w:t>
      </w:r>
      <w:proofErr w:type="spellEnd"/>
      <w:r>
        <w:rPr>
          <w:rFonts w:ascii="Verdana" w:eastAsia="Verdana" w:hAnsi="Verdana" w:cs="Verdana"/>
          <w:color w:val="FF0000"/>
          <w:sz w:val="18"/>
          <w:szCs w:val="18"/>
        </w:rPr>
        <w:t>, - výkresy podrobností (detailů) zobrazují pro dodavatele závazné, nebo tvarově složité konstrukce (prvky), na které klade projektant zvláštní požadavky a které je nutné při prováděn</w:t>
      </w:r>
      <w:r>
        <w:rPr>
          <w:rFonts w:ascii="Verdana" w:eastAsia="Verdana" w:hAnsi="Verdana" w:cs="Verdana"/>
          <w:color w:val="FF0000"/>
          <w:sz w:val="18"/>
          <w:szCs w:val="18"/>
        </w:rPr>
        <w:t xml:space="preserve">í stavby respektovat. Rozpočtované položky obsahují všechny součásti potřebné k sestavení souhrnného rozpočtu. Výkaz výměr je uveden dostatečným způsobem. Odkazem jsou výkresová dokumentace jako celek. </w:t>
      </w:r>
      <w:r>
        <w:rPr>
          <w:rFonts w:ascii="Verdana" w:eastAsia="Verdana" w:hAnsi="Verdana" w:cs="Verdana"/>
          <w:color w:val="FF0000"/>
          <w:sz w:val="18"/>
          <w:szCs w:val="18"/>
        </w:rPr>
        <w:lastRenderedPageBreak/>
        <w:t>Dodavatel systému si specifikuje prvky dle své dodávan</w:t>
      </w:r>
      <w:r>
        <w:rPr>
          <w:rFonts w:ascii="Verdana" w:eastAsia="Verdana" w:hAnsi="Verdana" w:cs="Verdana"/>
          <w:color w:val="FF0000"/>
          <w:sz w:val="18"/>
          <w:szCs w:val="18"/>
        </w:rPr>
        <w:t>é technologie a platných legislativních předpisů a doporučení výrobce námi navržený systém je referenční. Detailní části budou provedeny v rámci dodavatelské dokumentace, které zajišťuje dodavatel stavby.</w:t>
      </w:r>
    </w:p>
    <w:p w14:paraId="0000004A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 xml:space="preserve">Ve VV </w:t>
      </w:r>
      <w:proofErr w:type="spellStart"/>
      <w:r>
        <w:rPr>
          <w:rFonts w:ascii="Verdana" w:eastAsia="Verdana" w:hAnsi="Verdana" w:cs="Verdana"/>
          <w:color w:val="FF0000"/>
          <w:sz w:val="18"/>
          <w:szCs w:val="18"/>
        </w:rPr>
        <w:t>pol.č</w:t>
      </w:r>
      <w:proofErr w:type="spellEnd"/>
      <w:r>
        <w:rPr>
          <w:rFonts w:ascii="Verdana" w:eastAsia="Verdana" w:hAnsi="Verdana" w:cs="Verdana"/>
          <w:color w:val="FF0000"/>
          <w:sz w:val="18"/>
          <w:szCs w:val="18"/>
        </w:rPr>
        <w:t>. 93,94,172 doplněny o výměry.</w:t>
      </w:r>
    </w:p>
    <w:p w14:paraId="0000004B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</w:p>
    <w:p w14:paraId="0000004C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</w:t>
      </w: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 xml:space="preserve"> 2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4D" w14:textId="77777777" w:rsidR="00E11193" w:rsidRDefault="00137D50">
      <w:pPr>
        <w:spacing w:after="0"/>
        <w:rPr>
          <w:rFonts w:ascii="Verdana" w:eastAsia="Verdana" w:hAnsi="Verdana" w:cs="Verdana"/>
          <w:color w:val="1F497D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Prosíme o specifikaci podhledů k rastru 6, rastru 8 a k minerálním lamelám. Ve VV jsou vypsány a ve výměrách mají také pozici, v jakém NP se nachází, ale v PD ani v materiálovém řešení nejsou specifikované</w:t>
      </w:r>
      <w:r>
        <w:rPr>
          <w:rFonts w:ascii="Verdana" w:eastAsia="Verdana" w:hAnsi="Verdana" w:cs="Verdana"/>
          <w:color w:val="1F497D"/>
          <w:sz w:val="18"/>
          <w:szCs w:val="18"/>
        </w:rPr>
        <w:t>.</w:t>
      </w:r>
    </w:p>
    <w:p w14:paraId="0000004E" w14:textId="77777777" w:rsidR="00E11193" w:rsidRDefault="00E11193">
      <w:pPr>
        <w:spacing w:after="0"/>
        <w:rPr>
          <w:rFonts w:ascii="Verdana" w:eastAsia="Verdana" w:hAnsi="Verdana" w:cs="Verdana"/>
          <w:color w:val="1F497D"/>
          <w:sz w:val="18"/>
          <w:szCs w:val="18"/>
        </w:rPr>
      </w:pPr>
    </w:p>
    <w:p w14:paraId="0000004F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Pozice minerálních lamel je uvedena v PD – v legendě místností 1.PP, specifikace je uvedena v technické zprávě. Přikládáme list technické specifikace.</w:t>
      </w:r>
    </w:p>
    <w:p w14:paraId="00000050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Rastr 6 a 8 se v budově nevyskytuje.</w:t>
      </w:r>
    </w:p>
    <w:p w14:paraId="00000051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Ve VV položky pro RASTR 6 (</w:t>
      </w:r>
      <w:proofErr w:type="spellStart"/>
      <w:r>
        <w:rPr>
          <w:rFonts w:ascii="Verdana" w:eastAsia="Verdana" w:hAnsi="Verdana" w:cs="Verdana"/>
          <w:color w:val="FF0000"/>
          <w:sz w:val="18"/>
          <w:szCs w:val="18"/>
        </w:rPr>
        <w:t>pol.č</w:t>
      </w:r>
      <w:proofErr w:type="spellEnd"/>
      <w:r>
        <w:rPr>
          <w:rFonts w:ascii="Verdana" w:eastAsia="Verdana" w:hAnsi="Verdana" w:cs="Verdana"/>
          <w:color w:val="FF0000"/>
          <w:sz w:val="18"/>
          <w:szCs w:val="18"/>
        </w:rPr>
        <w:t>. 280) a RASTR 8 (pol.č.281) zrušeny.</w:t>
      </w:r>
    </w:p>
    <w:p w14:paraId="00000052" w14:textId="77777777" w:rsidR="00E11193" w:rsidRDefault="00E11193">
      <w:pPr>
        <w:spacing w:after="0"/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</w:pPr>
    </w:p>
    <w:p w14:paraId="00000053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3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54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Repase stávajících hodin – na prohlídce bylo řečeno, že si zadavatel řeší sám, ve VV D 1.1.ASŘ-NS je položka 374, která toto obsahuje.</w:t>
      </w:r>
    </w:p>
    <w:p w14:paraId="00000055" w14:textId="77777777" w:rsidR="00E11193" w:rsidRDefault="00137D50">
      <w:pPr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Je repase hodin součástí realizace zak</w:t>
      </w:r>
      <w:r>
        <w:rPr>
          <w:rFonts w:ascii="Verdana" w:eastAsia="Verdana" w:hAnsi="Verdana" w:cs="Verdana"/>
          <w:b/>
          <w:sz w:val="18"/>
          <w:szCs w:val="18"/>
        </w:rPr>
        <w:t>ázky?</w:t>
      </w:r>
    </w:p>
    <w:p w14:paraId="00000056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viz. odpovědi v rámci DI 01 (odpověď na dotaz č.1).</w:t>
      </w:r>
    </w:p>
    <w:p w14:paraId="00000057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</w:p>
    <w:p w14:paraId="00000058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4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59" w14:textId="77777777" w:rsidR="00E11193" w:rsidRDefault="00137D50">
      <w:pPr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D1.1.ASŘ-NS pol.238 - sanace dřevěných trámových stropů – nelze ocenit, neboť stropy nebyly v rámci prohlídky zpřístupněny a není znám jejich stávající stav.</w:t>
      </w:r>
    </w:p>
    <w:p w14:paraId="0000005A" w14:textId="77777777" w:rsidR="00E11193" w:rsidRDefault="00137D50">
      <w:pPr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Žádáme o jasné zadání k ocenění položky-počet trámů, které je nutno vyměnit, jaké statické zajištění apod.</w:t>
      </w:r>
    </w:p>
    <w:p w14:paraId="0000005B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S ohledem na to, že budova je využívána, nebylo možno stropy zpřístupnit, proto je navržena sanace v plném rozsahu. V průběhu BP bude rozhodnuto</w:t>
      </w:r>
      <w:r>
        <w:rPr>
          <w:rFonts w:ascii="Verdana" w:eastAsia="Verdana" w:hAnsi="Verdana" w:cs="Verdana"/>
          <w:color w:val="FF0000"/>
          <w:sz w:val="18"/>
          <w:szCs w:val="18"/>
        </w:rPr>
        <w:t xml:space="preserve"> o dalším postupu, zda rozsah zůstane nebo se zmenší.</w:t>
      </w:r>
    </w:p>
    <w:p w14:paraId="0000005C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b/>
          <w:sz w:val="18"/>
          <w:szCs w:val="18"/>
        </w:rPr>
      </w:pPr>
    </w:p>
    <w:p w14:paraId="0000005D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5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5E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Jaké bude řešení vodorovné izolace pod stávajícím obvodovým zdivem</w:t>
      </w:r>
      <w:r>
        <w:rPr>
          <w:rFonts w:ascii="Verdana" w:eastAsia="Verdana" w:hAnsi="Verdana" w:cs="Verdana"/>
          <w:sz w:val="18"/>
          <w:szCs w:val="18"/>
        </w:rPr>
        <w:t>?</w:t>
      </w:r>
    </w:p>
    <w:p w14:paraId="0000005F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V PD není neřešeno. Dále žádáme o detail napojení svislé vnější stěrkové izolace obvodového zdiva a vodorovné izolace pod</w:t>
      </w:r>
      <w:r>
        <w:rPr>
          <w:rFonts w:ascii="Verdana" w:eastAsia="Verdana" w:hAnsi="Verdana" w:cs="Verdana"/>
          <w:sz w:val="18"/>
          <w:szCs w:val="18"/>
        </w:rPr>
        <w:t>lahy v místě vodorovné spáry pod zdivem</w:t>
      </w:r>
    </w:p>
    <w:p w14:paraId="00000060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Pod stávajícím zdivem bude provedena chemická injektáž IN1, IN2. Spojení s vodorovnou hydroizolací bude provedeno prostřednictvím systému SO2 a SO3 – viz detail:</w:t>
      </w:r>
    </w:p>
    <w:p w14:paraId="00000061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Ve VV dodány položky na chemickou injektáž IN1, I</w:t>
      </w:r>
      <w:r>
        <w:rPr>
          <w:rFonts w:ascii="Verdana" w:eastAsia="Verdana" w:hAnsi="Verdana" w:cs="Verdana"/>
          <w:color w:val="FF0000"/>
          <w:sz w:val="18"/>
          <w:szCs w:val="18"/>
        </w:rPr>
        <w:t xml:space="preserve">N2, </w:t>
      </w:r>
      <w:proofErr w:type="spellStart"/>
      <w:r>
        <w:rPr>
          <w:rFonts w:ascii="Verdana" w:eastAsia="Verdana" w:hAnsi="Verdana" w:cs="Verdana"/>
          <w:color w:val="FF0000"/>
          <w:sz w:val="18"/>
          <w:szCs w:val="18"/>
        </w:rPr>
        <w:t>pol.č</w:t>
      </w:r>
      <w:proofErr w:type="spellEnd"/>
      <w:r>
        <w:rPr>
          <w:rFonts w:ascii="Verdana" w:eastAsia="Verdana" w:hAnsi="Verdana" w:cs="Verdana"/>
          <w:color w:val="FF0000"/>
          <w:sz w:val="18"/>
          <w:szCs w:val="18"/>
        </w:rPr>
        <w:t xml:space="preserve">. 40a – </w:t>
      </w:r>
      <w:proofErr w:type="gramStart"/>
      <w:r>
        <w:rPr>
          <w:rFonts w:ascii="Verdana" w:eastAsia="Verdana" w:hAnsi="Verdana" w:cs="Verdana"/>
          <w:color w:val="FF0000"/>
          <w:sz w:val="18"/>
          <w:szCs w:val="18"/>
        </w:rPr>
        <w:t>40h</w:t>
      </w:r>
      <w:proofErr w:type="gramEnd"/>
      <w:r>
        <w:rPr>
          <w:rFonts w:ascii="Verdana" w:eastAsia="Verdana" w:hAnsi="Verdana" w:cs="Verdana"/>
          <w:color w:val="FF0000"/>
          <w:sz w:val="18"/>
          <w:szCs w:val="18"/>
        </w:rPr>
        <w:t>.</w:t>
      </w:r>
    </w:p>
    <w:p w14:paraId="00000062" w14:textId="77777777" w:rsidR="00E11193" w:rsidRDefault="00137D50">
      <w:pPr>
        <w:spacing w:after="0" w:line="240" w:lineRule="auto"/>
        <w:jc w:val="left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 xml:space="preserve">Ve VV doplněna pol. č. 92a, </w:t>
      </w:r>
      <w:proofErr w:type="gramStart"/>
      <w:r>
        <w:rPr>
          <w:rFonts w:ascii="Verdana" w:eastAsia="Verdana" w:hAnsi="Verdana" w:cs="Verdana"/>
          <w:color w:val="FF0000"/>
          <w:sz w:val="18"/>
          <w:szCs w:val="18"/>
        </w:rPr>
        <w:t>203a</w:t>
      </w:r>
      <w:proofErr w:type="gramEnd"/>
      <w:r>
        <w:rPr>
          <w:rFonts w:ascii="Verdana" w:eastAsia="Verdana" w:hAnsi="Verdana" w:cs="Verdana"/>
          <w:color w:val="FF0000"/>
          <w:sz w:val="18"/>
          <w:szCs w:val="18"/>
        </w:rPr>
        <w:t xml:space="preserve"> – pro hydroizolační systém SO2, SO3.</w:t>
      </w:r>
    </w:p>
    <w:p w14:paraId="00000063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noProof/>
        </w:rPr>
        <w:lastRenderedPageBreak/>
        <w:drawing>
          <wp:inline distT="0" distB="0" distL="0" distR="0">
            <wp:extent cx="5322570" cy="349758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2570" cy="34975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64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Popis systému viz revidovaná technická zpráva D.1.1.a_a, která nahrazuje původní D.1.1.a.</w:t>
      </w:r>
    </w:p>
    <w:p w14:paraId="00000065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color w:val="000000"/>
          <w:sz w:val="18"/>
          <w:szCs w:val="18"/>
        </w:rPr>
      </w:pPr>
    </w:p>
    <w:p w14:paraId="00000066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6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67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V Technické zprávě je uvedeno otlučení vnějších omítek fasády ze 100 %, ve VV objektu D 1.1.ASŘ-BP 80 %-100% plochy. Ve VV D 1.1.ASŘ-NS je 100 % plochy nových omítek – </w:t>
      </w:r>
      <w:r>
        <w:rPr>
          <w:rFonts w:ascii="Verdana" w:eastAsia="Verdana" w:hAnsi="Verdana" w:cs="Verdana"/>
          <w:b/>
          <w:sz w:val="18"/>
          <w:szCs w:val="18"/>
        </w:rPr>
        <w:t>jaké je tedy platné zadání?</w:t>
      </w:r>
      <w:r>
        <w:rPr>
          <w:rFonts w:ascii="Verdana" w:eastAsia="Verdana" w:hAnsi="Verdana" w:cs="Verdana"/>
          <w:sz w:val="18"/>
          <w:szCs w:val="18"/>
        </w:rPr>
        <w:t xml:space="preserve"> </w:t>
      </w:r>
    </w:p>
    <w:p w14:paraId="00000068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Opravdu se uvažuje o otlučení v rozsahu VV Bouracích prací?</w:t>
      </w:r>
      <w:r>
        <w:rPr>
          <w:rFonts w:ascii="Verdana" w:eastAsia="Verdana" w:hAnsi="Verdana" w:cs="Verdana"/>
          <w:sz w:val="18"/>
          <w:szCs w:val="18"/>
        </w:rPr>
        <w:t xml:space="preserve"> Časová náročnost provedení nových omítek je značná a její finanční náklady dle našeho názoru procentuálně převýší cenu uvažovanou v kontrolním rozpočtu, ze kterého byla určena celková cena zakázky.</w:t>
      </w:r>
    </w:p>
    <w:p w14:paraId="00000069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Byl proveden průzkum stavu fasády (pouze v dosahu z přilehlých ploch). S ohledem na zjištěný stav je uvažováno s opravou fasády v plném rozsahu tak, aby při realizaci nedocházelo k vícepracím s ohledem na rozsah poškozených míst.</w:t>
      </w:r>
    </w:p>
    <w:p w14:paraId="0000006A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 xml:space="preserve">Ve VV je </w:t>
      </w:r>
      <w:proofErr w:type="spellStart"/>
      <w:r>
        <w:rPr>
          <w:rFonts w:ascii="Verdana" w:eastAsia="Verdana" w:hAnsi="Verdana" w:cs="Verdana"/>
          <w:color w:val="FF0000"/>
          <w:sz w:val="18"/>
          <w:szCs w:val="18"/>
        </w:rPr>
        <w:t>pol.č</w:t>
      </w:r>
      <w:proofErr w:type="spellEnd"/>
      <w:r>
        <w:rPr>
          <w:rFonts w:ascii="Verdana" w:eastAsia="Verdana" w:hAnsi="Verdana" w:cs="Verdana"/>
          <w:color w:val="FF0000"/>
          <w:sz w:val="18"/>
          <w:szCs w:val="18"/>
        </w:rPr>
        <w:t>. 134 p</w:t>
      </w:r>
      <w:r>
        <w:rPr>
          <w:rFonts w:ascii="Verdana" w:eastAsia="Verdana" w:hAnsi="Verdana" w:cs="Verdana"/>
          <w:color w:val="FF0000"/>
          <w:sz w:val="18"/>
          <w:szCs w:val="18"/>
        </w:rPr>
        <w:t xml:space="preserve">ro otlučení omítky přes 80-100% ceníková. Celková výměra je brána k celkově ploše fasády tedy </w:t>
      </w:r>
      <w:proofErr w:type="gramStart"/>
      <w:r>
        <w:rPr>
          <w:rFonts w:ascii="Verdana" w:eastAsia="Verdana" w:hAnsi="Verdana" w:cs="Verdana"/>
          <w:color w:val="FF0000"/>
          <w:sz w:val="18"/>
          <w:szCs w:val="18"/>
        </w:rPr>
        <w:t>100%</w:t>
      </w:r>
      <w:proofErr w:type="gramEnd"/>
      <w:r>
        <w:rPr>
          <w:rFonts w:ascii="Verdana" w:eastAsia="Verdana" w:hAnsi="Verdana" w:cs="Verdana"/>
          <w:color w:val="FF0000"/>
          <w:sz w:val="18"/>
          <w:szCs w:val="18"/>
        </w:rPr>
        <w:t>.</w:t>
      </w:r>
    </w:p>
    <w:p w14:paraId="0000006B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color w:val="000000"/>
          <w:sz w:val="18"/>
          <w:szCs w:val="18"/>
        </w:rPr>
      </w:pPr>
    </w:p>
    <w:p w14:paraId="0000006C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7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6D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VRN-položka 12 - součástí této položky je vyjádření hasičů, hygieny a dalších institucí vč. závěrečné prohlídky jako podklad pro vydání kolauda</w:t>
      </w:r>
      <w:r>
        <w:rPr>
          <w:rFonts w:ascii="Verdana" w:eastAsia="Verdana" w:hAnsi="Verdana" w:cs="Verdana"/>
          <w:sz w:val="18"/>
          <w:szCs w:val="18"/>
        </w:rPr>
        <w:t>čního rozhodnutí, které zajišťuje zadavatel.</w:t>
      </w:r>
    </w:p>
    <w:p w14:paraId="0000006E" w14:textId="77777777" w:rsidR="00E11193" w:rsidRDefault="00137D50">
      <w:pPr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Žádost o kolaudaci podává zadavatel?</w:t>
      </w:r>
    </w:p>
    <w:p w14:paraId="0000006F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ZČU: Žádost o kolaudaci podává Zadavatel.</w:t>
      </w:r>
    </w:p>
    <w:p w14:paraId="00000070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</w:p>
    <w:p w14:paraId="00000071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8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72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VRN-pol.28 - tato položka obsahuje poplatky za zábory?</w:t>
      </w:r>
    </w:p>
    <w:p w14:paraId="00000073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Tato položka zábory neobsahuje.</w:t>
      </w:r>
    </w:p>
    <w:p w14:paraId="00000074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</w:p>
    <w:p w14:paraId="00000075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9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76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VRN-pol.25–v jakém rozsahu má být archeologický průzkum?</w:t>
      </w:r>
    </w:p>
    <w:p w14:paraId="00000077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Rozsah archeologického průzkumu určí Archeologický ústav.</w:t>
      </w:r>
    </w:p>
    <w:p w14:paraId="00000078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sz w:val="18"/>
          <w:szCs w:val="18"/>
        </w:rPr>
      </w:pPr>
    </w:p>
    <w:p w14:paraId="00000079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10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7A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Provedení svislé izolace po celém obvodu vnějšího zdiva – zejména v ulic</w:t>
      </w:r>
      <w:r>
        <w:rPr>
          <w:rFonts w:ascii="Verdana" w:eastAsia="Verdana" w:hAnsi="Verdana" w:cs="Verdana"/>
          <w:sz w:val="18"/>
          <w:szCs w:val="18"/>
        </w:rPr>
        <w:t>i Klatovská tř. je realizace otevřeného výkopu ve sklonu 1:2 dle PD nereálná vzhledem k šířce chodníku a stávajícím sítím. Dále není jasné, zda se získá povolení na zábor celé šířky chodníku vzhledem k pohybu osob. Dle našeho názoru je třeba doplnit položk</w:t>
      </w:r>
      <w:r>
        <w:rPr>
          <w:rFonts w:ascii="Verdana" w:eastAsia="Verdana" w:hAnsi="Verdana" w:cs="Verdana"/>
          <w:sz w:val="18"/>
          <w:szCs w:val="18"/>
        </w:rPr>
        <w:t>u pažení výkopu, a to zejména v částech souvisejících přímo s chodníky a veřejnými komunikacemi.</w:t>
      </w:r>
    </w:p>
    <w:p w14:paraId="0000007B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 xml:space="preserve">TEO: S ohledem na šířku chodníků je navržené svahování zcela reálné – viz. výkres koordinační situace, kde je výkop zakreslen včetně svahování, kdy je patrné, </w:t>
      </w:r>
      <w:r>
        <w:rPr>
          <w:rFonts w:ascii="Verdana" w:eastAsia="Verdana" w:hAnsi="Verdana" w:cs="Verdana"/>
          <w:color w:val="FF0000"/>
          <w:sz w:val="18"/>
          <w:szCs w:val="18"/>
        </w:rPr>
        <w:t>že horní hrana výkopu nedosahuje ani záhonů pro stromy, natož silniční obruby. Dočasné zajištění inženýrských sítí je zahrnuto ve výkazu výměr.</w:t>
      </w:r>
    </w:p>
    <w:p w14:paraId="0000007C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color w:val="000000"/>
          <w:sz w:val="18"/>
          <w:szCs w:val="18"/>
        </w:rPr>
      </w:pPr>
    </w:p>
    <w:p w14:paraId="0000007D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11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7E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Jak bude provedena izolace vnějšího zdiva v místě vstupních schodišť do objektu? </w:t>
      </w:r>
    </w:p>
    <w:p w14:paraId="0000007F" w14:textId="77777777" w:rsidR="00E11193" w:rsidRDefault="00137D50">
      <w:pPr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Žádáme o detail </w:t>
      </w:r>
      <w:r>
        <w:rPr>
          <w:rFonts w:ascii="Verdana" w:eastAsia="Verdana" w:hAnsi="Verdana" w:cs="Verdana"/>
          <w:b/>
          <w:sz w:val="18"/>
          <w:szCs w:val="18"/>
        </w:rPr>
        <w:t>těchto částí.</w:t>
      </w:r>
    </w:p>
    <w:p w14:paraId="00000080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 xml:space="preserve">TEO: U budovy Chodské nám. 1 se nachází pouze 1 venkovní předložené schodiště. Vzhledem k tomu, že se toto schodiště provádí jako nové, nevidíme problém v provedení svislé hydroizolace a následného provedení nového předloženého schodiště. </w:t>
      </w:r>
    </w:p>
    <w:p w14:paraId="00000081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</w:p>
    <w:p w14:paraId="00000082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sdt>
        <w:sdtPr>
          <w:tag w:val="goog_rdk_0"/>
          <w:id w:val="117655159"/>
        </w:sdtPr>
        <w:sdtEndPr/>
        <w:sdtContent/>
      </w:sdt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12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83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VRN-pol.16,17 - jak máme chápat tyto položky? Co je obsahem – náklady na projektovou dokumentaci a následné řešení? Není možné přenášet tyto nepředvídané náklady na zhotovitele v rámci celkové ceny – změny oproti PD musí být řešeny jako vícenáklady. </w:t>
      </w:r>
    </w:p>
    <w:p w14:paraId="00000084" w14:textId="77777777" w:rsidR="00E11193" w:rsidRDefault="00137D50">
      <w:pPr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Žádáme o úpravu textu.</w:t>
      </w:r>
    </w:p>
    <w:p w14:paraId="00000085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Tyto změny nejsou brány jako vícepráce, jedná se o náklady vzniklé při případných kolizích během stavby.</w:t>
      </w:r>
    </w:p>
    <w:p w14:paraId="00000086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</w:p>
    <w:p w14:paraId="00000087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13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88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D 1.1.ASŘ-BP-pol.145- Vyklizení objektu před rekonstrukcí a případné zpětné nastěhování vč. nábytku, vybavení</w:t>
      </w:r>
      <w:r>
        <w:rPr>
          <w:rFonts w:ascii="Verdana" w:eastAsia="Verdana" w:hAnsi="Verdana" w:cs="Verdana"/>
          <w:sz w:val="18"/>
          <w:szCs w:val="18"/>
        </w:rPr>
        <w:t xml:space="preserve"> laboratoří – není jasně stanovený rozsah prací, není možné ocenit na m</w:t>
      </w:r>
      <w:r>
        <w:rPr>
          <w:rFonts w:ascii="Verdana" w:eastAsia="Verdana" w:hAnsi="Verdana" w:cs="Verdana"/>
          <w:sz w:val="18"/>
          <w:szCs w:val="18"/>
          <w:vertAlign w:val="superscript"/>
        </w:rPr>
        <w:t>2</w:t>
      </w:r>
      <w:r>
        <w:rPr>
          <w:rFonts w:ascii="Verdana" w:eastAsia="Verdana" w:hAnsi="Verdana" w:cs="Verdana"/>
          <w:sz w:val="18"/>
          <w:szCs w:val="18"/>
        </w:rPr>
        <w:t>.</w:t>
      </w:r>
    </w:p>
    <w:p w14:paraId="00000089" w14:textId="77777777" w:rsidR="00E11193" w:rsidRDefault="00137D50">
      <w:pPr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Žádáme o jasný popis prací.</w:t>
      </w:r>
    </w:p>
    <w:p w14:paraId="0000008A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Ve VV položka zrušena, na žádost investora.</w:t>
      </w:r>
    </w:p>
    <w:p w14:paraId="0000008B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</w:p>
    <w:p w14:paraId="0000008C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14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8D" w14:textId="77777777" w:rsidR="00E11193" w:rsidRDefault="00137D50">
      <w:pPr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D 1.1.ASŘ-NS-pol.108 - Sanace svislých konstrukcí – žádáme o vyčlenění položky na výměru </w:t>
      </w:r>
      <w:proofErr w:type="spellStart"/>
      <w:r>
        <w:rPr>
          <w:rFonts w:ascii="Verdana" w:eastAsia="Verdana" w:hAnsi="Verdana" w:cs="Verdana"/>
          <w:sz w:val="18"/>
          <w:szCs w:val="18"/>
        </w:rPr>
        <w:t>helikální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 výztuže v </w:t>
      </w:r>
      <w:proofErr w:type="spellStart"/>
      <w:r>
        <w:rPr>
          <w:rFonts w:ascii="Verdana" w:eastAsia="Verdana" w:hAnsi="Verdana" w:cs="Verdana"/>
          <w:sz w:val="18"/>
          <w:szCs w:val="18"/>
        </w:rPr>
        <w:t>bm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 tak, aby bylo možno tyto práce ocenit</w:t>
      </w:r>
    </w:p>
    <w:p w14:paraId="0000008E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Dtto pol.112</w:t>
      </w:r>
    </w:p>
    <w:p w14:paraId="0000008F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 xml:space="preserve">TEO: Ve VV </w:t>
      </w:r>
      <w:proofErr w:type="spellStart"/>
      <w:r>
        <w:rPr>
          <w:rFonts w:ascii="Verdana" w:eastAsia="Verdana" w:hAnsi="Verdana" w:cs="Verdana"/>
          <w:color w:val="FF0000"/>
          <w:sz w:val="18"/>
          <w:szCs w:val="18"/>
        </w:rPr>
        <w:t>pol.č</w:t>
      </w:r>
      <w:proofErr w:type="spellEnd"/>
      <w:r>
        <w:rPr>
          <w:rFonts w:ascii="Verdana" w:eastAsia="Verdana" w:hAnsi="Verdana" w:cs="Verdana"/>
          <w:color w:val="FF0000"/>
          <w:sz w:val="18"/>
          <w:szCs w:val="18"/>
        </w:rPr>
        <w:t xml:space="preserve">. 108 doplněna o výměry </w:t>
      </w:r>
      <w:proofErr w:type="spellStart"/>
      <w:r>
        <w:rPr>
          <w:rFonts w:ascii="Verdana" w:eastAsia="Verdana" w:hAnsi="Verdana" w:cs="Verdana"/>
          <w:color w:val="FF0000"/>
          <w:sz w:val="18"/>
          <w:szCs w:val="18"/>
        </w:rPr>
        <w:t>helikální</w:t>
      </w:r>
      <w:proofErr w:type="spellEnd"/>
      <w:r>
        <w:rPr>
          <w:rFonts w:ascii="Verdana" w:eastAsia="Verdana" w:hAnsi="Verdana" w:cs="Verdana"/>
          <w:color w:val="FF0000"/>
          <w:sz w:val="18"/>
          <w:szCs w:val="18"/>
        </w:rPr>
        <w:t xml:space="preserve"> výztuže.</w:t>
      </w:r>
      <w:r>
        <w:rPr>
          <w:rFonts w:ascii="Verdana" w:eastAsia="Verdana" w:hAnsi="Verdana" w:cs="Verdana"/>
          <w:color w:val="FF0000"/>
          <w:sz w:val="18"/>
          <w:szCs w:val="18"/>
        </w:rPr>
        <w:tab/>
      </w:r>
      <w:r>
        <w:rPr>
          <w:rFonts w:ascii="Verdana" w:eastAsia="Verdana" w:hAnsi="Verdana" w:cs="Verdana"/>
          <w:color w:val="FF0000"/>
          <w:sz w:val="18"/>
          <w:szCs w:val="18"/>
        </w:rPr>
        <w:tab/>
      </w:r>
    </w:p>
    <w:p w14:paraId="00000090" w14:textId="77777777" w:rsidR="00E11193" w:rsidRDefault="00137D50">
      <w:pPr>
        <w:spacing w:after="0" w:line="240" w:lineRule="auto"/>
        <w:jc w:val="left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 xml:space="preserve">        </w:t>
      </w:r>
      <w:proofErr w:type="spellStart"/>
      <w:r>
        <w:rPr>
          <w:rFonts w:ascii="Verdana" w:eastAsia="Verdana" w:hAnsi="Verdana" w:cs="Verdana"/>
          <w:color w:val="FF0000"/>
          <w:sz w:val="18"/>
          <w:szCs w:val="18"/>
        </w:rPr>
        <w:t>Pol.č</w:t>
      </w:r>
      <w:proofErr w:type="spellEnd"/>
      <w:r>
        <w:rPr>
          <w:rFonts w:ascii="Verdana" w:eastAsia="Verdana" w:hAnsi="Verdana" w:cs="Verdana"/>
          <w:color w:val="FF0000"/>
          <w:sz w:val="18"/>
          <w:szCs w:val="18"/>
        </w:rPr>
        <w:t>. 112 zrušena, v ob</w:t>
      </w:r>
      <w:r>
        <w:rPr>
          <w:rFonts w:ascii="Verdana" w:eastAsia="Verdana" w:hAnsi="Verdana" w:cs="Verdana"/>
          <w:color w:val="FF0000"/>
          <w:sz w:val="18"/>
          <w:szCs w:val="18"/>
        </w:rPr>
        <w:t>jektu není nutno tyto práce použít.</w:t>
      </w:r>
      <w:r>
        <w:rPr>
          <w:rFonts w:ascii="Verdana" w:eastAsia="Verdana" w:hAnsi="Verdana" w:cs="Verdana"/>
          <w:color w:val="FF0000"/>
          <w:sz w:val="18"/>
          <w:szCs w:val="18"/>
        </w:rPr>
        <w:tab/>
      </w:r>
      <w:r>
        <w:br w:type="page"/>
      </w:r>
    </w:p>
    <w:p w14:paraId="00000091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</w:p>
    <w:p w14:paraId="00000092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</w:p>
    <w:p w14:paraId="00000093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15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94" w14:textId="77777777" w:rsidR="00E11193" w:rsidRDefault="00137D50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Plošina ZTP3 má být dle TZ v budově Klatovská tř.51–1.N.P.</w:t>
      </w:r>
    </w:p>
    <w:p w14:paraId="00000095" w14:textId="77777777" w:rsidR="00E11193" w:rsidRDefault="00137D50">
      <w:pPr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Žádáme o dodání půdorysu se zakreslením tvaru plošiny.</w:t>
      </w:r>
    </w:p>
    <w:p w14:paraId="00000096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viz. odpovědi v rámci DI 02 (odpověď na dotaz č. 2)</w:t>
      </w:r>
    </w:p>
    <w:p w14:paraId="00000097" w14:textId="77777777" w:rsidR="00E11193" w:rsidRDefault="00E11193">
      <w:pPr>
        <w:spacing w:after="0"/>
        <w:ind w:left="360" w:hanging="360"/>
        <w:rPr>
          <w:rFonts w:ascii="Verdana" w:eastAsia="Verdana" w:hAnsi="Verdana" w:cs="Verdana"/>
          <w:b/>
          <w:sz w:val="18"/>
          <w:szCs w:val="18"/>
        </w:rPr>
      </w:pPr>
    </w:p>
    <w:p w14:paraId="00000098" w14:textId="77777777" w:rsidR="00E11193" w:rsidRDefault="00137D50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16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99" w14:textId="77777777" w:rsidR="00E11193" w:rsidRDefault="00137D50">
      <w:pPr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Stavební úpravy Klatovská tř.51- nenašli jsme půdorysy jednotlivých podlaží se stavebními úpravami.</w:t>
      </w:r>
    </w:p>
    <w:p w14:paraId="0000009A" w14:textId="77777777" w:rsidR="00E11193" w:rsidRDefault="00137D50">
      <w:pPr>
        <w:rPr>
          <w:b/>
        </w:rPr>
      </w:pPr>
      <w:r>
        <w:rPr>
          <w:b/>
        </w:rPr>
        <w:t>Žádáme o jejich doplnění.</w:t>
      </w:r>
    </w:p>
    <w:p w14:paraId="0000009B" w14:textId="77777777" w:rsidR="00E11193" w:rsidRDefault="00137D50">
      <w:pPr>
        <w:spacing w:after="0"/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V rámci stavebních úprav budovy Chodské nám. 1 jsou po</w:t>
      </w:r>
      <w:r>
        <w:rPr>
          <w:rFonts w:ascii="Verdana" w:eastAsia="Verdana" w:hAnsi="Verdana" w:cs="Verdana"/>
          <w:color w:val="FF0000"/>
          <w:sz w:val="18"/>
          <w:szCs w:val="18"/>
        </w:rPr>
        <w:t>uze vybrané prostory vedlejšího objektu (Klatovská tř. 51). Tyto vybrané prostory jsou zobrazeny na výkresech budovy Chodské nám. 1.</w:t>
      </w:r>
    </w:p>
    <w:p w14:paraId="0000009C" w14:textId="77777777" w:rsidR="00E11193" w:rsidRDefault="00E11193">
      <w:pPr>
        <w:rPr>
          <w:b/>
        </w:rPr>
      </w:pPr>
    </w:p>
    <w:p w14:paraId="0000009D" w14:textId="77777777" w:rsidR="00E11193" w:rsidRDefault="00E11193">
      <w:pPr>
        <w:rPr>
          <w:b/>
        </w:rPr>
      </w:pPr>
    </w:p>
    <w:sectPr w:rsidR="00E11193">
      <w:headerReference w:type="default" r:id="rId9"/>
      <w:footerReference w:type="default" r:id="rId10"/>
      <w:pgSz w:w="11906" w:h="16838"/>
      <w:pgMar w:top="1417" w:right="1417" w:bottom="1276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0F647" w14:textId="77777777" w:rsidR="00137D50" w:rsidRDefault="00137D50">
      <w:pPr>
        <w:spacing w:after="0" w:line="240" w:lineRule="auto"/>
      </w:pPr>
      <w:r>
        <w:separator/>
      </w:r>
    </w:p>
  </w:endnote>
  <w:endnote w:type="continuationSeparator" w:id="0">
    <w:p w14:paraId="13B671BA" w14:textId="77777777" w:rsidR="00137D50" w:rsidRDefault="00137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0" w14:textId="77777777" w:rsidR="00E11193" w:rsidRDefault="00137D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20"/>
      </w:rPr>
    </w:pPr>
    <w:r>
      <w:rPr>
        <w:rFonts w:eastAsia="Arial" w:cs="Arial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E4C22" w14:textId="77777777" w:rsidR="00137D50" w:rsidRDefault="00137D50">
      <w:pPr>
        <w:spacing w:after="0" w:line="240" w:lineRule="auto"/>
      </w:pPr>
      <w:r>
        <w:separator/>
      </w:r>
    </w:p>
  </w:footnote>
  <w:footnote w:type="continuationSeparator" w:id="0">
    <w:p w14:paraId="401B4C68" w14:textId="77777777" w:rsidR="00137D50" w:rsidRDefault="00137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E" w14:textId="77777777" w:rsidR="00E11193" w:rsidRDefault="00137D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b/>
        <w:color w:val="FF0000"/>
        <w:sz w:val="28"/>
        <w:szCs w:val="28"/>
      </w:rPr>
    </w:pPr>
    <w:r>
      <w:rPr>
        <w:rFonts w:eastAsia="Arial" w:cs="Arial"/>
        <w:b/>
        <w:color w:val="FF0000"/>
        <w:sz w:val="28"/>
        <w:szCs w:val="28"/>
      </w:rPr>
      <w:t>Dotaz č. 3 (E-ZAK 12.3.2024)</w:t>
    </w:r>
  </w:p>
  <w:p w14:paraId="0000009F" w14:textId="77777777" w:rsidR="00E11193" w:rsidRDefault="00E111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A4373"/>
    <w:multiLevelType w:val="multilevel"/>
    <w:tmpl w:val="C778CA7A"/>
    <w:lvl w:ilvl="0">
      <w:start w:val="1"/>
      <w:numFmt w:val="decimal"/>
      <w:pStyle w:val="Obsah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193"/>
    <w:rsid w:val="00137D50"/>
    <w:rsid w:val="002F3EB8"/>
    <w:rsid w:val="00E1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E774E-5E91-4DA2-B2A9-38F156EC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lang w:val="cs-CZ" w:eastAsia="cs-CZ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6981"/>
    <w:rPr>
      <w:rFonts w:eastAsia="Calibri" w:cs="Times New Roman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D0F1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7698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7698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0F1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D0F1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6D0F1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"/>
      <w:sz w:val="52"/>
      <w:szCs w:val="52"/>
    </w:rPr>
  </w:style>
  <w:style w:type="character" w:customStyle="1" w:styleId="Nadpis1Char">
    <w:name w:val="Nadpis 1 Char"/>
    <w:link w:val="Nadpis1"/>
    <w:uiPriority w:val="9"/>
    <w:qFormat/>
    <w:rsid w:val="006D0F1C"/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customStyle="1" w:styleId="Nadpis2Char">
    <w:name w:val="Nadpis 2 Char"/>
    <w:link w:val="Nadpis2"/>
    <w:uiPriority w:val="9"/>
    <w:qFormat/>
    <w:rsid w:val="00376981"/>
    <w:rPr>
      <w:rFonts w:ascii="Cambria" w:eastAsia="Times New Roman" w:hAnsi="Cambria" w:cs="Times New Roman"/>
      <w:b/>
      <w:bCs/>
      <w:color w:val="4F81BD"/>
      <w:kern w:val="0"/>
      <w:sz w:val="26"/>
      <w:szCs w:val="26"/>
    </w:rPr>
  </w:style>
  <w:style w:type="character" w:customStyle="1" w:styleId="Nadpis3Char">
    <w:name w:val="Nadpis 3 Char"/>
    <w:link w:val="Nadpis3"/>
    <w:uiPriority w:val="9"/>
    <w:qFormat/>
    <w:rsid w:val="00376981"/>
    <w:rPr>
      <w:rFonts w:ascii="Cambria" w:eastAsia="Times New Roman" w:hAnsi="Cambria" w:cs="Times New Roman"/>
      <w:b/>
      <w:bCs/>
      <w:color w:val="4F81BD"/>
      <w:kern w:val="0"/>
      <w:sz w:val="20"/>
      <w:szCs w:val="22"/>
    </w:rPr>
  </w:style>
  <w:style w:type="character" w:customStyle="1" w:styleId="Nadpis4Char">
    <w:name w:val="Nadpis 4 Char"/>
    <w:link w:val="Nadpis4"/>
    <w:uiPriority w:val="9"/>
    <w:semiHidden/>
    <w:qFormat/>
    <w:rsid w:val="006D0F1C"/>
    <w:rPr>
      <w:rFonts w:ascii="Cambria" w:eastAsia="Times New Roman" w:hAnsi="Cambria" w:cs="Times New Roman"/>
      <w:b/>
      <w:bCs/>
      <w:i/>
      <w:iCs/>
      <w:color w:val="4F81BD"/>
      <w:kern w:val="0"/>
      <w:sz w:val="20"/>
      <w:szCs w:val="22"/>
    </w:rPr>
  </w:style>
  <w:style w:type="character" w:customStyle="1" w:styleId="Nadpis5Char">
    <w:name w:val="Nadpis 5 Char"/>
    <w:link w:val="Nadpis5"/>
    <w:uiPriority w:val="9"/>
    <w:semiHidden/>
    <w:qFormat/>
    <w:rsid w:val="006D0F1C"/>
    <w:rPr>
      <w:rFonts w:ascii="Cambria" w:eastAsia="Times New Roman" w:hAnsi="Cambria" w:cs="Times New Roman"/>
      <w:color w:val="243F60"/>
      <w:kern w:val="0"/>
      <w:sz w:val="20"/>
      <w:szCs w:val="22"/>
    </w:rPr>
  </w:style>
  <w:style w:type="character" w:customStyle="1" w:styleId="NzevChar">
    <w:name w:val="Název Char"/>
    <w:link w:val="Nzev"/>
    <w:uiPriority w:val="10"/>
    <w:qFormat/>
    <w:rsid w:val="006D0F1C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ZhlavChar">
    <w:name w:val="Záhlaví Char"/>
    <w:link w:val="Zhlav"/>
    <w:uiPriority w:val="99"/>
    <w:qFormat/>
    <w:rsid w:val="0083216C"/>
    <w:rPr>
      <w:rFonts w:ascii="Arial" w:hAnsi="Arial"/>
      <w:color w:val="333333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83216C"/>
    <w:rPr>
      <w:rFonts w:ascii="Arial" w:hAnsi="Arial"/>
      <w:color w:val="333333"/>
      <w:szCs w:val="22"/>
      <w:lang w:eastAsia="en-US"/>
    </w:rPr>
  </w:style>
  <w:style w:type="character" w:styleId="Hypertextovodkaz">
    <w:name w:val="Hyperlink"/>
    <w:uiPriority w:val="99"/>
    <w:unhideWhenUsed/>
    <w:rsid w:val="00CD79E7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qFormat/>
    <w:rsid w:val="00CD79E7"/>
    <w:rPr>
      <w:color w:val="605E5C"/>
      <w:shd w:val="clear" w:color="auto" w:fill="E1DFDD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00E6C"/>
    <w:rPr>
      <w:rFonts w:ascii="Courier New" w:eastAsia="Times New Roman" w:hAnsi="Courier New"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Bezmezer">
    <w:name w:val="No Spacing"/>
    <w:uiPriority w:val="1"/>
    <w:qFormat/>
    <w:rsid w:val="006D0F1C"/>
    <w:pPr>
      <w:spacing w:after="0"/>
    </w:pPr>
    <w:rPr>
      <w:rFonts w:eastAsia="Calibri" w:cs="Times New Roman"/>
      <w:szCs w:val="22"/>
      <w:lang w:eastAsia="en-U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83216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83216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62224"/>
    <w:pPr>
      <w:ind w:left="708"/>
    </w:pPr>
  </w:style>
  <w:style w:type="paragraph" w:customStyle="1" w:styleId="Default">
    <w:name w:val="Default"/>
    <w:qFormat/>
    <w:rsid w:val="00FC44EF"/>
    <w:pPr>
      <w:spacing w:after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Justified">
    <w:name w:val="Normal (Justified)"/>
    <w:basedOn w:val="Normln"/>
    <w:qFormat/>
    <w:rsid w:val="005871E5"/>
    <w:pPr>
      <w:widowControl w:val="0"/>
      <w:spacing w:after="0" w:line="240" w:lineRule="auto"/>
    </w:pPr>
    <w:rPr>
      <w:rFonts w:ascii="Times New Roman" w:eastAsia="Times New Roman" w:hAnsi="Times New Roman"/>
      <w:color w:val="auto"/>
      <w:kern w:val="2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7D0B0D"/>
    <w:pPr>
      <w:numPr>
        <w:numId w:val="1"/>
      </w:numPr>
      <w:suppressAutoHyphens/>
      <w:spacing w:after="0" w:line="240" w:lineRule="auto"/>
      <w:ind w:left="284" w:hanging="284"/>
    </w:pPr>
    <w:rPr>
      <w:rFonts w:eastAsia="Times New Roman" w:cs="Arial"/>
      <w:color w:val="auto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qFormat/>
    <w:rsid w:val="00300E6C"/>
    <w:pPr>
      <w:spacing w:after="0" w:line="240" w:lineRule="auto"/>
      <w:jc w:val="left"/>
    </w:pPr>
    <w:rPr>
      <w:rFonts w:ascii="Courier New" w:eastAsia="Times New Roman" w:hAnsi="Courier New" w:cs="Courier New"/>
      <w:color w:val="auto"/>
      <w:szCs w:val="20"/>
      <w:lang w:eastAsia="cs-CZ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="Calibri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I68PI6BzTNUh9XHZVHq7AXZ3+g==">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1422</Words>
  <Characters>8394</Characters>
  <Application>Microsoft Office Word</Application>
  <DocSecurity>0</DocSecurity>
  <Lines>69</Lines>
  <Paragraphs>19</Paragraphs>
  <ScaleCrop>false</ScaleCrop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Štěpán Mátl</cp:lastModifiedBy>
  <cp:revision>2</cp:revision>
  <dcterms:created xsi:type="dcterms:W3CDTF">2024-03-12T06:46:00Z</dcterms:created>
  <dcterms:modified xsi:type="dcterms:W3CDTF">2024-04-12T12:25:00Z</dcterms:modified>
</cp:coreProperties>
</file>