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4EEA9C9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73906">
        <w:rPr>
          <w:rFonts w:ascii="Garamond" w:hAnsi="Garamond"/>
          <w:sz w:val="24"/>
          <w:szCs w:val="24"/>
        </w:rPr>
        <w:t>1</w:t>
      </w:r>
      <w:r w:rsidR="00A12723">
        <w:rPr>
          <w:rFonts w:ascii="Garamond" w:hAnsi="Garamond"/>
          <w:sz w:val="24"/>
          <w:szCs w:val="24"/>
        </w:rPr>
        <w:t>54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2CA2C2D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12723" w:rsidRPr="00C5688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https://zakazky.zcu.cz/contract_display_6464.html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E6DE94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50309">
        <w:rPr>
          <w:rFonts w:ascii="Garamond" w:hAnsi="Garamond" w:cs="Arial"/>
          <w:sz w:val="22"/>
          <w:szCs w:val="22"/>
        </w:rPr>
        <w:t>1</w:t>
      </w:r>
      <w:r w:rsidR="00A12723">
        <w:rPr>
          <w:rFonts w:ascii="Garamond" w:hAnsi="Garamond" w:cs="Arial"/>
          <w:sz w:val="22"/>
          <w:szCs w:val="22"/>
        </w:rPr>
        <w:t>2</w:t>
      </w:r>
      <w:r w:rsidR="00525F07">
        <w:rPr>
          <w:rFonts w:ascii="Garamond" w:hAnsi="Garamond" w:cs="Arial"/>
          <w:sz w:val="22"/>
          <w:szCs w:val="22"/>
        </w:rPr>
        <w:t>.</w:t>
      </w:r>
      <w:r w:rsidR="00920559">
        <w:rPr>
          <w:rFonts w:ascii="Garamond" w:hAnsi="Garamond" w:cs="Arial"/>
          <w:sz w:val="22"/>
          <w:szCs w:val="22"/>
        </w:rPr>
        <w:t>1</w:t>
      </w:r>
      <w:r w:rsidR="00A12723">
        <w:rPr>
          <w:rFonts w:ascii="Garamond" w:hAnsi="Garamond" w:cs="Arial"/>
          <w:sz w:val="22"/>
          <w:szCs w:val="22"/>
        </w:rPr>
        <w:t>2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2A54BD">
        <w:rPr>
          <w:rFonts w:ascii="Garamond" w:hAnsi="Garamond" w:cs="Arial"/>
          <w:sz w:val="22"/>
          <w:szCs w:val="22"/>
        </w:rPr>
        <w:t>9</w:t>
      </w:r>
      <w:r w:rsidR="002A256E">
        <w:rPr>
          <w:rFonts w:ascii="Garamond" w:hAnsi="Garamond" w:cs="Arial"/>
          <w:sz w:val="22"/>
          <w:szCs w:val="22"/>
        </w:rPr>
        <w:t>:</w:t>
      </w:r>
      <w:r w:rsidR="00B45301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72F55C18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5B5648">
        <w:rPr>
          <w:rFonts w:ascii="Garamond" w:hAnsi="Garamond" w:cs="Arial"/>
          <w:sz w:val="22"/>
          <w:szCs w:val="22"/>
        </w:rPr>
        <w:t>ve formátu PDF/A</w:t>
      </w:r>
      <w:r w:rsidR="005B564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musí být podepsán (platným </w:t>
      </w:r>
      <w:r w:rsidR="005B5648"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86B5EDF" w:rsidR="005A575C" w:rsidRPr="005B5648" w:rsidRDefault="005A575C" w:rsidP="005B5648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5B5648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5B5648" w:rsidRPr="00F4269B">
        <w:rPr>
          <w:rFonts w:ascii="Garamond" w:hAnsi="Garamond" w:cs="Arial"/>
          <w:b/>
          <w:sz w:val="22"/>
          <w:szCs w:val="22"/>
        </w:rPr>
        <w:t>.</w:t>
      </w:r>
      <w:r w:rsidR="005B5648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5B5648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5B5648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 xml:space="preserve">ká </w:t>
      </w:r>
      <w:r w:rsidR="00B64919">
        <w:rPr>
          <w:rFonts w:ascii="Garamond" w:hAnsi="Garamond"/>
          <w:sz w:val="22"/>
          <w:szCs w:val="22"/>
        </w:rPr>
        <w:lastRenderedPageBreak/>
        <w:t>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vyhl. </w:t>
      </w:r>
      <w:r w:rsidR="00CA4359" w:rsidRPr="005E2BAD">
        <w:rPr>
          <w:rFonts w:ascii="Garamond" w:hAnsi="Garamond"/>
          <w:sz w:val="22"/>
          <w:szCs w:val="22"/>
        </w:rPr>
        <w:lastRenderedPageBreak/>
        <w:t>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Energy star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Certified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Energy star </w:t>
      </w:r>
      <w:r w:rsidR="00147607">
        <w:rPr>
          <w:rFonts w:ascii="Garamond" w:hAnsi="Garamond"/>
          <w:sz w:val="22"/>
          <w:szCs w:val="22"/>
        </w:rPr>
        <w:t xml:space="preserve">a TCO Certified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r w:rsidR="00D81325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r w:rsidR="00D81325" w:rsidRPr="008C5827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>dle benchmark testu od společnosti PassMark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lastRenderedPageBreak/>
        <w:t>Západočeská univerzita v Plzni</w:t>
      </w:r>
    </w:p>
    <w:p w14:paraId="146F3C32" w14:textId="2CDFF2B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B6E4F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E2E2D" w14:textId="77777777" w:rsidR="00E26CD8" w:rsidRDefault="00E26CD8" w:rsidP="00795AAC">
      <w:r>
        <w:separator/>
      </w:r>
    </w:p>
  </w:endnote>
  <w:endnote w:type="continuationSeparator" w:id="0">
    <w:p w14:paraId="3DF4DFD6" w14:textId="77777777" w:rsidR="00E26CD8" w:rsidRDefault="00E26CD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ABCF1" w14:textId="77777777" w:rsidR="00E26CD8" w:rsidRDefault="00E26CD8" w:rsidP="00795AAC">
      <w:r>
        <w:separator/>
      </w:r>
    </w:p>
  </w:footnote>
  <w:footnote w:type="continuationSeparator" w:id="0">
    <w:p w14:paraId="538023F7" w14:textId="77777777" w:rsidR="00E26CD8" w:rsidRDefault="00E26CD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0534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28B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77139"/>
    <w:rsid w:val="00180DC3"/>
    <w:rsid w:val="00184824"/>
    <w:rsid w:val="00185EFB"/>
    <w:rsid w:val="0018706D"/>
    <w:rsid w:val="001905EC"/>
    <w:rsid w:val="00190907"/>
    <w:rsid w:val="0019386D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D603F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4ED0"/>
    <w:rsid w:val="0020599F"/>
    <w:rsid w:val="0021132B"/>
    <w:rsid w:val="00217849"/>
    <w:rsid w:val="002179FF"/>
    <w:rsid w:val="00223F91"/>
    <w:rsid w:val="00230A5B"/>
    <w:rsid w:val="00242C54"/>
    <w:rsid w:val="00245425"/>
    <w:rsid w:val="00245AA2"/>
    <w:rsid w:val="00250309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4C27"/>
    <w:rsid w:val="002A54BD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69ED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C678B"/>
    <w:rsid w:val="003D116A"/>
    <w:rsid w:val="003D43B7"/>
    <w:rsid w:val="003D4537"/>
    <w:rsid w:val="003D50A4"/>
    <w:rsid w:val="003D52BD"/>
    <w:rsid w:val="003E3643"/>
    <w:rsid w:val="003E36BE"/>
    <w:rsid w:val="003E4492"/>
    <w:rsid w:val="003E567A"/>
    <w:rsid w:val="003E7819"/>
    <w:rsid w:val="003F2BF4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00ED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84EA7"/>
    <w:rsid w:val="00592FF9"/>
    <w:rsid w:val="00596C39"/>
    <w:rsid w:val="005A0C36"/>
    <w:rsid w:val="005A0DEB"/>
    <w:rsid w:val="005A1824"/>
    <w:rsid w:val="005A2609"/>
    <w:rsid w:val="005A3A7C"/>
    <w:rsid w:val="005A46CD"/>
    <w:rsid w:val="005A575C"/>
    <w:rsid w:val="005B0285"/>
    <w:rsid w:val="005B5648"/>
    <w:rsid w:val="005B73B7"/>
    <w:rsid w:val="005C01F9"/>
    <w:rsid w:val="005C05B4"/>
    <w:rsid w:val="005C077A"/>
    <w:rsid w:val="005C1471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3E63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3906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559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100C"/>
    <w:rsid w:val="00A03284"/>
    <w:rsid w:val="00A04841"/>
    <w:rsid w:val="00A059D3"/>
    <w:rsid w:val="00A06920"/>
    <w:rsid w:val="00A06C66"/>
    <w:rsid w:val="00A12723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2CED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45301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A5949"/>
    <w:rsid w:val="00BB33E6"/>
    <w:rsid w:val="00BB5054"/>
    <w:rsid w:val="00BB5DF2"/>
    <w:rsid w:val="00BB6C3E"/>
    <w:rsid w:val="00BB6C44"/>
    <w:rsid w:val="00BC094B"/>
    <w:rsid w:val="00BC4C17"/>
    <w:rsid w:val="00BD0E08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3F71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1CD5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AD3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6CD8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215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362E"/>
    <w:rsid w:val="00ED403B"/>
    <w:rsid w:val="00ED742F"/>
    <w:rsid w:val="00EE026A"/>
    <w:rsid w:val="00EE2F1B"/>
    <w:rsid w:val="00EE44DF"/>
    <w:rsid w:val="00EE6E9C"/>
    <w:rsid w:val="00EF1950"/>
    <w:rsid w:val="00EF4959"/>
    <w:rsid w:val="00F02369"/>
    <w:rsid w:val="00F033C6"/>
    <w:rsid w:val="00F0543A"/>
    <w:rsid w:val="00F07617"/>
    <w:rsid w:val="00F1168E"/>
    <w:rsid w:val="00F141F8"/>
    <w:rsid w:val="00F1708B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4DC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767B3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46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Gx4ITE/jTY5EYji0lsZM4X4hCeckpJY7vbBnOUW8pBU=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9nHUnbd8bLiFwQLTYEZ7YASwkBw3O2FAtxubaPGAs0o=</DigestValue>
    </Reference>
  </SignedInfo>
  <SignatureValue>O+EK8WmU1FLev8ZYVhocu2wKecM8AOXkD1blwgohFNa0YOKar+CC4jpvNnco6JVIHygXZbs5cziF
l6Cxa1NaiXME+6cfENlQBi+1t7xiiGbhBze67cBqt934lsOXnYwHg9siiXeBDZulxWRWfg0K2LNe
Ppq8Mzd+uzlH8UhBVFNq4nTBKh+3lkcatCJaAKSLSFZAx37+zo4ceGv9+nqdqV5OV+L3KHJNaAte
DhTL4qQdF5q9rNKa7WNsHwWGTt4HEz/+hdLGBi8/71Q3vf15hkys0/Q5ShxZ5uVXCS1pNRkzuKEg
eZIk9xf+wFOzhWwrsD7RpFyK8zCfrXIJBnr25A==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rQFl9dQuh25rL9L8umzCbkM7DgAWCFhhaSVGM56e9Y0=</DigestValue>
      </Reference>
      <Reference URI="/word/document.xml?ContentType=application/vnd.openxmlformats-officedocument.wordprocessingml.document.main+xml">
        <DigestMethod Algorithm="http://www.w3.org/2001/04/xmlenc#sha256"/>
        <DigestValue>dbtz1LKbq3b3hbcSelNWdlUpEdOvu4YgmWdrMh+Wg4o=</DigestValue>
      </Reference>
      <Reference URI="/word/endnotes.xml?ContentType=application/vnd.openxmlformats-officedocument.wordprocessingml.endnotes+xml">
        <DigestMethod Algorithm="http://www.w3.org/2001/04/xmlenc#sha256"/>
        <DigestValue>cZJJn3bB10Yxp/kczARDVTiywpNEpIbsvwduqR7o27k=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dZrr9NBPCMNWIWh0YORfTt3B5Q7+S5X0qT4IUy+U/cc=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3VaELKZ3S3YTqWt+YzDK1aTTxirw4Q7KwctNTBpKVVM=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2023-11-27T10:31:56Z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2023-11-27T10:31:56Z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6</Pages>
  <Words>2347</Words>
  <Characters>13851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192</cp:revision>
  <cp:lastPrinted>2022-02-22T11:35:00Z</cp:lastPrinted>
  <dcterms:created xsi:type="dcterms:W3CDTF">2021-09-14T05:18:00Z</dcterms:created>
  <dcterms:modified xsi:type="dcterms:W3CDTF">2023-11-27T10:31:00Z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