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FD2648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C95557">
        <w:rPr>
          <w:rFonts w:ascii="Garamond" w:hAnsi="Garamond"/>
          <w:sz w:val="24"/>
          <w:szCs w:val="24"/>
        </w:rPr>
        <w:t>2</w:t>
      </w:r>
      <w:r w:rsidR="0034681A">
        <w:rPr>
          <w:rFonts w:ascii="Garamond" w:hAnsi="Garamond"/>
          <w:sz w:val="24"/>
          <w:szCs w:val="24"/>
        </w:rPr>
        <w:t>2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  <w:r w:rsidR="00031E4A">
        <w:rPr>
          <w:rFonts w:ascii="Garamond" w:hAnsi="Garamond"/>
          <w:sz w:val="24"/>
          <w:szCs w:val="24"/>
        </w:rPr>
        <w:t xml:space="preserve"> opakování</w:t>
      </w:r>
    </w:p>
    <w:p w14:paraId="734915B7" w14:textId="469D52F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31E4A" w:rsidRPr="00EE55B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https://zakazky.zcu.cz/contract_display_6403.html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0A267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52745">
        <w:rPr>
          <w:rFonts w:ascii="Garamond" w:hAnsi="Garamond" w:cs="Arial"/>
          <w:sz w:val="22"/>
          <w:szCs w:val="22"/>
        </w:rPr>
        <w:t>2</w:t>
      </w:r>
      <w:r w:rsidR="00031E4A">
        <w:rPr>
          <w:rFonts w:ascii="Garamond" w:hAnsi="Garamond" w:cs="Arial"/>
          <w:sz w:val="22"/>
          <w:szCs w:val="22"/>
        </w:rPr>
        <w:t>0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031E4A">
        <w:rPr>
          <w:rFonts w:ascii="Garamond" w:hAnsi="Garamond" w:cs="Arial"/>
          <w:sz w:val="22"/>
          <w:szCs w:val="22"/>
        </w:rPr>
        <w:t>1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34681A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9CE9" w14:textId="77777777" w:rsidR="005E0184" w:rsidRDefault="005E0184" w:rsidP="00795AAC">
      <w:r>
        <w:separator/>
      </w:r>
    </w:p>
  </w:endnote>
  <w:endnote w:type="continuationSeparator" w:id="0">
    <w:p w14:paraId="40227C39" w14:textId="77777777" w:rsidR="005E0184" w:rsidRDefault="005E01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5FB3" w14:textId="77777777" w:rsidR="005E0184" w:rsidRDefault="005E0184" w:rsidP="00795AAC">
      <w:r>
        <w:separator/>
      </w:r>
    </w:p>
  </w:footnote>
  <w:footnote w:type="continuationSeparator" w:id="0">
    <w:p w14:paraId="360EB971" w14:textId="77777777" w:rsidR="005E0184" w:rsidRDefault="005E01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1E4A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81A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03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LPSPpiJBmYiD6Ft9WjCcBPMnEc+oZeF/i7I0nYwPzcE=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/Bl7J1gVd0+eH5yoAewKpSwkvFYrb4/3g9cDf9/5MXQ=</DigestValue>
    </Reference>
  </SignedInfo>
  <SignatureValue>zu770OnY+4p3RrTW5jjUcvea6xNl8SsrtR13pln7oREfUhwO8xYwAKqL78aEV23v4FHxwJQmUgNZ
nDuczbhQAhg9DnuL+Z8CRAYTglutLe/sjCF0rLXrtGeZRWWt4hOBwmNt8zPQEGudwsCBLJIgD43d
gKiokjIIbo+Zfm2oV7xhJmprzWVVJ/AaY7R2UmIMelu4rDkqXiNQTytMss0PVbu3eLtrS9dBlFOH
Y4OLiPb45dZePkxvh5BtDFiPkxu2O4uqm0j7pgUwjQUa4RUevl2CJl0Wex7m8fzCOVVSEqrb+e5n
YJBykHF9rhxONSOHaHus1QPrZvGqkq2LZRkEJg==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uKxJI7wQRCLrsR84BYcwX0qu7QhbNgqCoNCXKlbs9ds=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G1B6DrXBkH9EPXy8MbcWNKdd8FevufAu8wJurkW9p5Q=</DigestValue>
      </Reference>
      <Reference URI="/word/endnotes.xml?ContentType=application/vnd.openxmlformats-officedocument.wordprocessingml.endnotes+xml">
        <DigestMethod Algorithm="http://www.w3.org/2001/04/xmlenc#sha256"/>
        <DigestValue>73jlQGTWY6bdwRtNjQaK0J3c3n8x3glzlT3He3NEn9o=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MWkCHcFYqY1UiUBH4Imn+rqXmgfvorT2w2cfBzf3Gvg=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zVNv02M2s+sCQvlxkRmGTTTpkae4lU8hM2oyhaTA7DY=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2023-11-03T11:15:30Z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2023-11-03T11:15:30Z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2478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29</cp:revision>
  <cp:lastPrinted>2022-02-22T11:35:00Z</cp:lastPrinted>
  <dcterms:created xsi:type="dcterms:W3CDTF">2023-03-01T08:08:00Z</dcterms:created>
  <dcterms:modified xsi:type="dcterms:W3CDTF">2023-11-03T11:15:00Z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