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6B07B4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C74BFB">
        <w:rPr>
          <w:rFonts w:ascii="Garamond" w:hAnsi="Garamond"/>
          <w:sz w:val="24"/>
          <w:szCs w:val="24"/>
        </w:rPr>
        <w:t>99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7C361D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74BFB" w:rsidRPr="00C74BF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https://zakazky.zcu.cz/contract_display_5517.html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09B100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74BFB">
        <w:rPr>
          <w:rFonts w:ascii="Garamond" w:hAnsi="Garamond" w:cs="Arial"/>
          <w:sz w:val="22"/>
          <w:szCs w:val="22"/>
        </w:rPr>
        <w:t>07</w:t>
      </w:r>
      <w:r w:rsidR="00FE6AB4">
        <w:rPr>
          <w:rFonts w:ascii="Garamond" w:hAnsi="Garamond" w:cs="Arial"/>
          <w:sz w:val="22"/>
          <w:szCs w:val="22"/>
        </w:rPr>
        <w:t>.</w:t>
      </w:r>
      <w:r w:rsidR="00C74BFB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E824FE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A703D" w14:textId="77777777" w:rsidR="00A416EA" w:rsidRDefault="00A416EA" w:rsidP="00795AAC">
      <w:r>
        <w:separator/>
      </w:r>
    </w:p>
  </w:endnote>
  <w:endnote w:type="continuationSeparator" w:id="0">
    <w:p w14:paraId="2FD694AA" w14:textId="77777777" w:rsidR="00A416EA" w:rsidRDefault="00A416E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E6D2D2E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E824FE">
      <w:rPr>
        <w:noProof/>
      </w:rPr>
      <w:drawing>
        <wp:inline distT="0" distB="0" distL="0" distR="0" wp14:anchorId="5D6AF60E" wp14:editId="6B6E67B3">
          <wp:extent cx="5760720" cy="1078865"/>
          <wp:effectExtent l="0" t="0" r="0" b="698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078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F3C0F" w14:textId="77777777" w:rsidR="00A416EA" w:rsidRDefault="00A416EA" w:rsidP="00795AAC">
      <w:r>
        <w:separator/>
      </w:r>
    </w:p>
  </w:footnote>
  <w:footnote w:type="continuationSeparator" w:id="0">
    <w:p w14:paraId="2F851471" w14:textId="77777777" w:rsidR="00A416EA" w:rsidRDefault="00A416E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6EA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74BFB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58E8"/>
    <w:rsid w:val="00E6671F"/>
    <w:rsid w:val="00E66C11"/>
    <w:rsid w:val="00E70305"/>
    <w:rsid w:val="00E7390F"/>
    <w:rsid w:val="00E760FE"/>
    <w:rsid w:val="00E76775"/>
    <w:rsid w:val="00E824FE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17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/3rxZNuiiheOHt8bkXSneoqiZ9hXmEtaKvp5d5sbBsk=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3YtX9ZBX2fSWJxPVRDRLKiYby+KRMsn/NxtlsB/ascA=</DigestValue>
    </Reference>
  </SignedInfo>
  <SignatureValue>YcWx/i/9vacrB2V/sI2DdhlogrXWFN2t47HptIc/pi4w+favuirGUmR41oJHN61x0ZKRKoYX9U1Q
BKpaT6RcaIPsVL1bmAURxoTmeBubN2td2ocCjqwqBTf8yh1n30BP/7xZV27yPrUvxudXUSkVgayc
Y6R8OOtOfyRU7/e2TrGXJbugSql8W5NBJEoWdmzBq+RsJl7UmnecoNoTOvXNH5ng/eqZNYoRkwVG
imdeG7RvTsbFsWLMgo0FZmLEUzcCFTpEmy4enIp7yG9yfRjLIEBbxE/0yHe0qn02XLiLfBp7rsp6
reyhlIc7LFFqx/xNLYpZraj5i0I6zSdkU7eiDQ==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YbkVASUx9XaTZJJuLsjtuP2nKvtI3UnkTk0L03mGUwA=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U/aH1FvYYD0gXAmOixOy3HeUb+9xKVwQwTfId14UAY4=</DigestValue>
      </Reference>
      <Reference URI="/word/endnotes.xml?ContentType=application/vnd.openxmlformats-officedocument.wordprocessingml.endnotes+xml">
        <DigestMethod Algorithm="http://www.w3.org/2001/04/xmlenc#sha256"/>
        <DigestValue>EUuZ3tNNkRpVj6f3KRWNn4WtAkVN2qf8apzNf3P/hxA=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sjN9Y7zfcfnzDwe9edjbN5n3Tt4ZjEmJH8bXNgDY4Ag=</DigestValue>
      </Reference>
      <Reference URI="/word/footnotes.xml?ContentType=application/vnd.openxmlformats-officedocument.wordprocessingml.footnotes+xml">
        <DigestMethod Algorithm="http://www.w3.org/2001/04/xmlenc#sha256"/>
        <DigestValue>jVOa5wla84lgHhD3tRfASrRtxrm+szmM8s1ACdlimWU=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wkhMCCmRgebIySV8FJt1ES+S1CbCsouO2EfUudKBOC8=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2022-09-23T08:16:27Z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2022-09-23T08:16:27Z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CE01B-D846-4123-B15A-D1F193C7A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2298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68</cp:revision>
  <cp:lastPrinted>2022-02-22T11:35:00Z</cp:lastPrinted>
  <dcterms:created xsi:type="dcterms:W3CDTF">2021-09-14T05:18:00Z</dcterms:created>
  <dcterms:modified xsi:type="dcterms:W3CDTF">2022-09-23T08:16:00Z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