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C8EB337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4778BC">
        <w:rPr>
          <w:rFonts w:ascii="Garamond" w:hAnsi="Garamond"/>
          <w:sz w:val="24"/>
          <w:szCs w:val="24"/>
        </w:rPr>
        <w:t>6</w:t>
      </w:r>
      <w:r w:rsidR="00642254">
        <w:rPr>
          <w:rFonts w:ascii="Garamond" w:hAnsi="Garamond"/>
          <w:sz w:val="24"/>
          <w:szCs w:val="24"/>
        </w:rPr>
        <w:t>5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697E312D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42254" w:rsidRPr="0064225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https://zakazky.zcu.cz/contract_display_5343.html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74C1357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086D17">
        <w:rPr>
          <w:rFonts w:ascii="Garamond" w:hAnsi="Garamond" w:cs="Arial"/>
          <w:sz w:val="22"/>
          <w:szCs w:val="22"/>
        </w:rPr>
        <w:t>0</w:t>
      </w:r>
      <w:r w:rsidR="00642254">
        <w:rPr>
          <w:rFonts w:ascii="Garamond" w:hAnsi="Garamond" w:cs="Arial"/>
          <w:sz w:val="22"/>
          <w:szCs w:val="22"/>
        </w:rPr>
        <w:t>8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E46993">
        <w:rPr>
          <w:rFonts w:ascii="Garamond" w:hAnsi="Garamond" w:cs="Arial"/>
          <w:sz w:val="22"/>
          <w:szCs w:val="22"/>
        </w:rPr>
        <w:t>0</w:t>
      </w:r>
      <w:r w:rsidR="00086D17">
        <w:rPr>
          <w:rFonts w:ascii="Garamond" w:hAnsi="Garamond" w:cs="Arial"/>
          <w:sz w:val="22"/>
          <w:szCs w:val="22"/>
        </w:rPr>
        <w:t>7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83248D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086D17">
        <w:rPr>
          <w:rFonts w:ascii="Garamond" w:hAnsi="Garamond" w:cs="Arial"/>
          <w:sz w:val="22"/>
          <w:szCs w:val="22"/>
        </w:rPr>
        <w:t>3</w:t>
      </w:r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  <w:bookmarkStart w:id="4" w:name="_GoBack"/>
      <w:bookmarkEnd w:id="4"/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21D06F" w14:textId="77777777" w:rsidR="005A1824" w:rsidRDefault="005A1824" w:rsidP="00795AAC">
      <w:r>
        <w:separator/>
      </w:r>
    </w:p>
  </w:endnote>
  <w:endnote w:type="continuationSeparator" w:id="0">
    <w:p w14:paraId="206A6326" w14:textId="77777777" w:rsidR="005A1824" w:rsidRDefault="005A182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1A6E8E04" w:rsidR="00AD69FB" w:rsidRPr="00EB6175" w:rsidRDefault="00AD69FB" w:rsidP="00F02369">
    <w:pPr>
      <w:pStyle w:val="Zpat"/>
      <w:tabs>
        <w:tab w:val="clear" w:pos="4536"/>
        <w:tab w:val="clear" w:pos="9072"/>
        <w:tab w:val="left" w:pos="3675"/>
      </w:tabs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="00F02369">
      <w:rPr>
        <w:rFonts w:ascii="Garamond" w:eastAsia="Arial" w:hAnsi="Garamond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CC00CB" w14:textId="77777777" w:rsidR="005A1824" w:rsidRDefault="005A1824" w:rsidP="00795AAC">
      <w:r>
        <w:separator/>
      </w:r>
    </w:p>
  </w:footnote>
  <w:footnote w:type="continuationSeparator" w:id="0">
    <w:p w14:paraId="16E0C1B1" w14:textId="77777777" w:rsidR="005A1824" w:rsidRDefault="005A182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76D6"/>
    <w:rsid w:val="00437EEA"/>
    <w:rsid w:val="004400E1"/>
    <w:rsid w:val="0044391D"/>
    <w:rsid w:val="004576B0"/>
    <w:rsid w:val="00462139"/>
    <w:rsid w:val="00464BB4"/>
    <w:rsid w:val="00475615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343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04WHV8i5KZ9dDc3wmpfOw9wYOq9+jRyk/W1WRqbHSSM=</DigestValue>
    </Reference>
    <Reference Type="http://www.w3.org/2000/09/xmldsig#Object" URI="#idOfficeObject">
      <DigestMethod Algorithm="http://www.w3.org/2001/04/xmlenc#sha256"/>
      <DigestValue>OCWbDo0/5ArmIYLZFqQ+lt71mmXTk0ZlV0eJxKC9m9I=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AJhVH0/KZD+Cb1ojLwlQqOZ6VN0kskgoRPolAu11nkM=</DigestValue>
    </Reference>
  </SignedInfo>
  <SignatureValue>gB0kHPc3cjOhKzkV4zWbQH2oIQi4GC9fYW2a2q90gNk7CYUI4fDh4TL/H5wsuvUOZJEC6ymlauMB
sBgkAr0UpHdPGYS8RSUDmkrCjpgc1kAhO5eRByPxDL+Za8cOwTu9z9jw2qGbEXjShECV4vFvMm3N
lLFsT2S3Xv1PBIa+nt1/OBBeXa4l5w5nkCg8JDA8ri1ylajJveNskVxahWTbUkA5fZ1NGJgQEA9I
wzDq2lhcPisGXrPkwVKy0Ghty7l8fbZxskLQcDQFFAQCMtz8ZaKdVyRzuNDWLI2eFvzZTv0RrcPT
vS5YgyC8FhNr+PmiXNda/Nowgipw9ymPugp6gA==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RlIntM/IY6a5Fyyi3Tt9e1TAmNaeYYyIQO02NltMbMA=</DigestValue>
      </Reference>
      <Reference URI="/word/document.xml?ContentType=application/vnd.openxmlformats-officedocument.wordprocessingml.document.main+xml">
        <DigestMethod Algorithm="http://www.w3.org/2001/04/xmlenc#sha256"/>
        <DigestValue>W8QdTkBkAL0p+ttVon4b5Uz7AU8J6LhNza0Kp4DUlrc=</DigestValue>
      </Reference>
      <Reference URI="/word/endnotes.xml?ContentType=application/vnd.openxmlformats-officedocument.wordprocessingml.endnotes+xml">
        <DigestMethod Algorithm="http://www.w3.org/2001/04/xmlenc#sha256"/>
        <DigestValue>EYa+u8vx8gA40Arl9NouIjiEZHMR939xTQSFBbfSjuo=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NLvwzBPoO+Efl/M2qU5ILKCHc+KhCgTMkh663UgBttQ=</DigestValue>
      </Reference>
      <Reference URI="/word/footnotes.xml?ContentType=application/vnd.openxmlformats-officedocument.wordprocessingml.footnotes+xml">
        <DigestMethod Algorithm="http://www.w3.org/2001/04/xmlenc#sha256"/>
        <DigestValue>SL4OWuTXQHT6Ku2yVw4c4zdIk8IwRmKF2uwDsTCPlfw=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rAFgmnGX1u8S3FcvI+LBvAFSZ0kTqb0Rz2Upw9F76Es=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2022-06-27T09:49:49Z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16.0.10387/14</OfficeVersion>
          <ApplicationVersion>16.0.10387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2022-06-27T09:49:49Z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C4D459-3EED-4FE7-A603-A1759DC13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61</cp:revision>
  <cp:lastPrinted>2022-02-22T11:35:00Z</cp:lastPrinted>
  <dcterms:created xsi:type="dcterms:W3CDTF">2021-09-14T05:18:00Z</dcterms:created>
  <dcterms:modified xsi:type="dcterms:W3CDTF">2022-06-27T09:49:00Z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