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FBA2989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3B7B7A">
        <w:rPr>
          <w:rFonts w:ascii="Garamond" w:hAnsi="Garamond"/>
          <w:sz w:val="24"/>
          <w:szCs w:val="24"/>
        </w:rPr>
        <w:t>2</w:t>
      </w:r>
      <w:r w:rsidR="00E9279F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3D8253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279F" w:rsidRPr="00E9279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https://zakazky.zcu.cz/contract_display_5152.html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179A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</w:t>
      </w:r>
      <w:r w:rsidR="003B7B7A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9279F">
        <w:rPr>
          <w:rFonts w:ascii="Garamond" w:hAnsi="Garamond" w:cs="Arial"/>
          <w:sz w:val="22"/>
          <w:szCs w:val="22"/>
        </w:rPr>
        <w:t>3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6CC8E" w14:textId="77777777" w:rsidR="00AC732E" w:rsidRDefault="00AC732E" w:rsidP="00795AAC">
      <w:r>
        <w:separator/>
      </w:r>
    </w:p>
  </w:endnote>
  <w:endnote w:type="continuationSeparator" w:id="0">
    <w:p w14:paraId="62E67AA1" w14:textId="77777777" w:rsidR="00AC732E" w:rsidRDefault="00AC732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65E2DC2" w:rsidR="00AD69FB" w:rsidRPr="00EB6175" w:rsidRDefault="00E9279F" w:rsidP="000C1F95">
    <w:pPr>
      <w:pStyle w:val="Zpat"/>
      <w:spacing w:before="240"/>
      <w:ind w:left="0"/>
      <w:rPr>
        <w:rFonts w:ascii="Garamond" w:hAnsi="Garamond"/>
      </w:rPr>
    </w:pPr>
    <w:r>
      <w:rPr>
        <w:noProof/>
      </w:rPr>
      <w:drawing>
        <wp:inline distT="0" distB="0" distL="0" distR="0" wp14:anchorId="160E6A09" wp14:editId="420686CE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DEA23" w14:textId="77777777" w:rsidR="00AC732E" w:rsidRDefault="00AC732E" w:rsidP="00795AAC">
      <w:r>
        <w:separator/>
      </w:r>
    </w:p>
  </w:footnote>
  <w:footnote w:type="continuationSeparator" w:id="0">
    <w:p w14:paraId="5ECC6B42" w14:textId="77777777" w:rsidR="00AC732E" w:rsidRDefault="00AC732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B7B7A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C732E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C62AB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79F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52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21ifyvrMEPhinEW3QQ1MJjbrbUM+Usxb9DSRUVnB0tg=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eFQoFIptv47ALqBmkti/dJUG0iH79/vsV1PjLFxPtSg=</DigestValue>
    </Reference>
  </SignedInfo>
  <SignatureValue>kn1pTDivV0UNKUQeCfWhB3wX5my3KhQ6PjjfblIbUzuKLI2SwiJRrg85dLdbWdo1BiERtU71AV9f
dxEWDqFPq1Uor3A/JsyOO+dhbSxS6Eud9BCa1p6RHhvo7ursKnOMz/yTCyBpWcpgH0xVdSIYgVAl
LYrEUgVP1HMTN3QsTfkpsB73jIBZJQQyOR0j4bWr5jdUDY12uB20RKelawS2ffCCBZsObLELWp/q
LL3xLzrsGuZyB1maUHFYZaNHgOPmPbsSQxDZTBPmyhkwPUfwD+6JHKqHBrwb36e0UaIgulYKDEoT
eQK6zf3YG+q5ak9Vdbapzqi4eubOrT+U8z/OMw==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+7Wp3oWr2IQayrNxHBew9YOyGlzyVf4Kq+3NCYBn0m8=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darMbTeM3yJJKRwwkmzLggU/dYf/23KGJIG7AmqrYeo=</DigestValue>
      </Reference>
      <Reference URI="/word/endnotes.xml?ContentType=application/vnd.openxmlformats-officedocument.wordprocessingml.endnotes+xml">
        <DigestMethod Algorithm="http://www.w3.org/2001/04/xmlenc#sha256"/>
        <DigestValue>XJZUwea5xsP0jmj18leM1CBKcmSWu0ZstZNfcNXNVY8=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6cV1mwVp19xuI2WrpUULwNbwqt5p8elGAnet650nd2k=</DigestValue>
      </Reference>
      <Reference URI="/word/footnotes.xml?ContentType=application/vnd.openxmlformats-officedocument.wordprocessingml.footnotes+xml">
        <DigestMethod Algorithm="http://www.w3.org/2001/04/xmlenc#sha256"/>
        <DigestValue>vXQoC1aZ4A+X5BiG0+pGdEDDl7T4xqRkHGsGkMdQEy8=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4Yt846djyqv/fKdjdWbiCTnDbQPLpuFRlUNqXBgL2NM=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2022-03-15T12:18:07Z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2022-03-15T12:18:07Z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91A6E-DD31-47B5-AD7F-D0A2FBEF4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30</cp:revision>
  <cp:lastPrinted>2022-02-22T11:35:00Z</cp:lastPrinted>
  <dcterms:created xsi:type="dcterms:W3CDTF">2021-09-14T05:18:00Z</dcterms:created>
  <dcterms:modified xsi:type="dcterms:W3CDTF">2022-03-15T12:18:00Z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