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E9D9C5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0F3052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FC0173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F3052" w:rsidRPr="002319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https://zakazky.zcu.cz/contract_display_4923.html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660C20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D4DDF">
        <w:rPr>
          <w:rFonts w:ascii="Garamond" w:hAnsi="Garamond" w:cs="Arial"/>
          <w:sz w:val="22"/>
          <w:szCs w:val="22"/>
        </w:rPr>
        <w:t>01.11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F305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36486" w14:textId="77777777" w:rsidR="00F77E7F" w:rsidRDefault="00F77E7F" w:rsidP="00795AAC">
      <w:r>
        <w:separator/>
      </w:r>
    </w:p>
  </w:endnote>
  <w:endnote w:type="continuationSeparator" w:id="0">
    <w:p w14:paraId="665226EC" w14:textId="77777777" w:rsidR="00F77E7F" w:rsidRDefault="00F77E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C98B1" w14:textId="77777777" w:rsidR="00F77E7F" w:rsidRDefault="00F77E7F" w:rsidP="00795AAC">
      <w:r>
        <w:separator/>
      </w:r>
    </w:p>
  </w:footnote>
  <w:footnote w:type="continuationSeparator" w:id="0">
    <w:p w14:paraId="4D616467" w14:textId="77777777" w:rsidR="00F77E7F" w:rsidRDefault="00F77E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052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7E7F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2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/oiTeNRa+EGjBWMB2DkFBvPsjVXLHDUi/WAyThHb5iE=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MhQYgR0K8HLSshYfG3O3N2iGSqBUFIZafHeXCreal3k=</DigestValue>
    </Reference>
  </SignedInfo>
  <SignatureValue>Ht+5M4geTe03dXWdrk1IXM5/8f8s5nRFwvYOBgqQLhXTPDxv1DH0vcETttRzmLG5g/TEl57jxmYy
FRNU+Wkf6u8sQyxp62Uz9DW/aj3juPgoh4wYEGp3nWIbQ1rMhPNaDSJz5aMsdY8uSyATIylQtcFT
qlJg7Nw02kqqPPypcqIBfKcoU6fZYDbKsKTdZ0cLj1hDiOhou93HsoZ+PNnRYJnCuA0IlKSKIL0m
e8Pz5NCe90n6HYpOXkzypytNBxfTppHPePvv4IyoQEeqEFXkkV38AhYiLEp3UIfujXx1L/1VSWM8
4gmdiXRn7IbA68Bs23s5zMtoJNF12AGnff+Omg==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Iy9mSGCkgJpG3T+HOyaOdPRylEqycNItc1NuBzkylI4=</DigestValue>
      </Reference>
      <Reference URI="/word/document.xml?ContentType=application/vnd.openxmlformats-officedocument.wordprocessingml.document.main+xml">
        <DigestMethod Algorithm="http://www.w3.org/2001/04/xmlenc#sha256"/>
        <DigestValue>7bbLAZJvHeb1EvbTEOnZUhHGejVv9MgWJnhSWx+D2wI=</DigestValue>
      </Reference>
      <Reference URI="/word/endnotes.xml?ContentType=application/vnd.openxmlformats-officedocument.wordprocessingml.endnotes+xml">
        <DigestMethod Algorithm="http://www.w3.org/2001/04/xmlenc#sha256"/>
        <DigestValue>60y4f+BxGmN9z1DRWl/rpQDIdT7ADGl62sIiC9NBXIA=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vUO7h5Q/9VucUAlbd85rnQ5VJUVanJXb9boOMWlAu14=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/nlHeuotKdlmnmR4w9mujef46ORIpAYMzoD0Aku/dSc=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2021-10-19T06:51:48Z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2021-10-19T06:51:48Z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34567-5D8E-4EC0-86C3-3CE17BF5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2021-09-20T07:59:00Z</dcterms:created>
  <dcterms:modified xsi:type="dcterms:W3CDTF">2021-10-19T06:51:00Z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