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E223B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10</w:t>
      </w:r>
      <w:r w:rsidR="00DA731B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ACE120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A731B" w:rsidRPr="00542AE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E7CB3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E02E6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E02E68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DA731B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931F2" w14:textId="77777777" w:rsidR="00D621DD" w:rsidRDefault="00D621DD" w:rsidP="00795AAC">
      <w:r>
        <w:separator/>
      </w:r>
    </w:p>
  </w:endnote>
  <w:endnote w:type="continuationSeparator" w:id="0">
    <w:p w14:paraId="4A61FE08" w14:textId="77777777" w:rsidR="00D621DD" w:rsidRDefault="00D621D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551C8" w14:textId="77777777" w:rsidR="00D621DD" w:rsidRDefault="00D621DD" w:rsidP="00795AAC">
      <w:r>
        <w:separator/>
      </w:r>
    </w:p>
  </w:footnote>
  <w:footnote w:type="continuationSeparator" w:id="0">
    <w:p w14:paraId="14687DA5" w14:textId="77777777" w:rsidR="00D621DD" w:rsidRDefault="00D621D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21DD"/>
    <w:rsid w:val="00D64A33"/>
    <w:rsid w:val="00D7497E"/>
    <w:rsid w:val="00D81325"/>
    <w:rsid w:val="00D9272D"/>
    <w:rsid w:val="00DA44E6"/>
    <w:rsid w:val="00DA731B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QmsRAf5SqBadWsWqmCdlx8D5A8GuWlT9PgO1wJu5fHw=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nfCTkc85DH6/LkFKl19teFbF5MeaWejESVOPYdovyKg=</DigestValue>
    </Reference>
  </SignedInfo>
  <SignatureValue>pvxpxOw/KwjFxJ0jXJrV9VLa3fhDzZ9tukFMXK2qhntKQqLW6A//koVZZUUm7qB4fqENTfcMT2ox
0nQqV2VDfzG/ojBoUG2R2LR1vMWlGVb9JCQNm9WrMgzOLkoFtkFK4Tc0Kzmo13qP85MDjmoVeVhf
WfcDm34p1xv2dAvtWJsxqPqxLbmkp1/ObcXWMivnbau+VsTKif+AcEOvigf8AtHysxYGKRuuegXz
08qZyzxZaijJmDeilwg5qm37B56bNS7+rxDk1Wnp9Luup/C7UykDnu9Dmp3xs7xeju/1v2hfHWqr
tBropvGBoW1qiXMjr5hTbSxu2jYFqXtswu/RRA==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gcDf5RIEsZo9BwEoyt/H6YG+wxTrWvEJ6S97fDZ4xXc=</DigestValue>
      </Reference>
      <Reference URI="/word/document.xml?ContentType=application/vnd.openxmlformats-officedocument.wordprocessingml.document.main+xml">
        <DigestMethod Algorithm="http://www.w3.org/2001/04/xmlenc#sha256"/>
        <DigestValue>NhHfOzk+CvT6o1ahGmuxrYJ+Yv/8jjqVZiSFS2zqdd0=</DigestValue>
      </Reference>
      <Reference URI="/word/endnotes.xml?ContentType=application/vnd.openxmlformats-officedocument.wordprocessingml.endnotes+xml">
        <DigestMethod Algorithm="http://www.w3.org/2001/04/xmlenc#sha256"/>
        <DigestValue>busVZWmJcpJuKQZsN7R/J6qayXL2+VBO7H0IUmibVRY=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uuAD2sFtMijyROcEw4B92hoEkrF21P334v08DOQxFQk=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CEJJFpOkE/cyYtYm2qvVaGISqC6tgggeLXVv3TGZa4I=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2021-09-01T08:11:47Z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2021-09-01T08:11:47Z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C79B0-A00D-4B68-AD4B-DC8FFE79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47</cp:revision>
  <cp:lastPrinted>2018-08-08T13:48:00Z</cp:lastPrinted>
  <dcterms:created xsi:type="dcterms:W3CDTF">2021-03-23T06:31:00Z</dcterms:created>
  <dcterms:modified xsi:type="dcterms:W3CDTF">2021-09-01T08:11:00Z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