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6F32F66C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8F13FB">
        <w:rPr>
          <w:rFonts w:ascii="Garamond" w:hAnsi="Garamond"/>
          <w:sz w:val="24"/>
          <w:szCs w:val="24"/>
        </w:rPr>
        <w:t>0</w:t>
      </w:r>
      <w:r w:rsidR="0025555E">
        <w:rPr>
          <w:rFonts w:ascii="Garamond" w:hAnsi="Garamond"/>
          <w:sz w:val="24"/>
          <w:szCs w:val="24"/>
        </w:rPr>
        <w:t>9</w:t>
      </w:r>
      <w:r w:rsidR="008B1A03">
        <w:rPr>
          <w:rFonts w:ascii="Garamond" w:hAnsi="Garamond"/>
          <w:sz w:val="24"/>
          <w:szCs w:val="24"/>
        </w:rPr>
        <w:t>3</w:t>
      </w:r>
      <w:r w:rsidRPr="005E2BAD">
        <w:rPr>
          <w:rFonts w:ascii="Garamond" w:hAnsi="Garamond"/>
          <w:sz w:val="24"/>
          <w:szCs w:val="24"/>
        </w:rPr>
        <w:t>-2021</w:t>
      </w:r>
    </w:p>
    <w:p w14:paraId="734915B7" w14:textId="085BFC85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8B1A03" w:rsidRPr="00D47C52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https://zakazky.zcu.cz/contract_display_4724.html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  <w:bookmarkStart w:id="1" w:name="_GoBack"/>
      <w:bookmarkEnd w:id="1"/>
    </w:p>
    <w:p w14:paraId="6B26D401" w14:textId="082E3CB9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8B1A03">
        <w:rPr>
          <w:rFonts w:ascii="Garamond" w:hAnsi="Garamond" w:cs="Arial"/>
          <w:sz w:val="22"/>
          <w:szCs w:val="22"/>
        </w:rPr>
        <w:t>10</w:t>
      </w:r>
      <w:r w:rsidR="003D50A4">
        <w:rPr>
          <w:rFonts w:ascii="Garamond" w:hAnsi="Garamond" w:cs="Arial"/>
          <w:sz w:val="22"/>
          <w:szCs w:val="22"/>
        </w:rPr>
        <w:t>.</w:t>
      </w:r>
      <w:r w:rsidR="009149BA">
        <w:rPr>
          <w:rFonts w:ascii="Garamond" w:hAnsi="Garamond" w:cs="Arial"/>
          <w:sz w:val="22"/>
          <w:szCs w:val="22"/>
        </w:rPr>
        <w:t>0</w:t>
      </w:r>
      <w:r w:rsidR="00CF29AD">
        <w:rPr>
          <w:rFonts w:ascii="Garamond" w:hAnsi="Garamond" w:cs="Arial"/>
          <w:sz w:val="22"/>
          <w:szCs w:val="22"/>
        </w:rPr>
        <w:t>8</w:t>
      </w:r>
      <w:r w:rsidR="009C12D5">
        <w:rPr>
          <w:rFonts w:ascii="Garamond" w:hAnsi="Garamond" w:cs="Arial"/>
          <w:sz w:val="22"/>
          <w:szCs w:val="22"/>
        </w:rPr>
        <w:t>.2021</w:t>
      </w:r>
      <w:r w:rsidR="003C1FD6" w:rsidRPr="00136141">
        <w:rPr>
          <w:rFonts w:ascii="Garamond" w:hAnsi="Garamond" w:cs="Arial"/>
          <w:sz w:val="22"/>
          <w:szCs w:val="22"/>
        </w:rPr>
        <w:t xml:space="preserve"> do</w:t>
      </w:r>
      <w:r w:rsidR="00954748">
        <w:rPr>
          <w:rFonts w:ascii="Garamond" w:hAnsi="Garamond" w:cs="Arial"/>
          <w:sz w:val="22"/>
          <w:szCs w:val="22"/>
        </w:rPr>
        <w:t xml:space="preserve"> </w:t>
      </w:r>
      <w:r w:rsidR="008B1A03">
        <w:rPr>
          <w:rFonts w:ascii="Garamond" w:hAnsi="Garamond" w:cs="Arial"/>
          <w:sz w:val="22"/>
          <w:szCs w:val="22"/>
        </w:rPr>
        <w:t>10</w:t>
      </w:r>
      <w:r w:rsidR="004960B8">
        <w:rPr>
          <w:rFonts w:ascii="Garamond" w:hAnsi="Garamond" w:cs="Arial"/>
          <w:sz w:val="22"/>
          <w:szCs w:val="22"/>
        </w:rPr>
        <w:t>:</w:t>
      </w:r>
      <w:r w:rsidR="00CF29AD">
        <w:rPr>
          <w:rFonts w:ascii="Garamond" w:hAnsi="Garamond" w:cs="Arial"/>
          <w:sz w:val="22"/>
          <w:szCs w:val="22"/>
        </w:rPr>
        <w:t>0</w:t>
      </w:r>
      <w:r w:rsidR="00ED403B">
        <w:rPr>
          <w:rFonts w:ascii="Garamond" w:hAnsi="Garamond" w:cs="Arial"/>
          <w:sz w:val="22"/>
          <w:szCs w:val="22"/>
        </w:rPr>
        <w:t>0</w:t>
      </w:r>
      <w:r w:rsidRPr="00B02193">
        <w:rPr>
          <w:rFonts w:ascii="Garamond" w:hAnsi="Garamond" w:cs="Arial"/>
          <w:sz w:val="22"/>
          <w:szCs w:val="22"/>
        </w:rPr>
        <w:t xml:space="preserve"> hod</w:t>
      </w:r>
      <w:r w:rsidR="003C1FD6" w:rsidRPr="00B02193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1615C0A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313220FD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 xml:space="preserve">adavatel požaduje, </w:t>
      </w:r>
      <w:proofErr w:type="gramStart"/>
      <w:r w:rsidR="00113AA6" w:rsidRPr="005E2BAD">
        <w:rPr>
          <w:rFonts w:ascii="Garamond" w:hAnsi="Garamond"/>
          <w:sz w:val="22"/>
          <w:szCs w:val="22"/>
        </w:rPr>
        <w:t>aby</w:t>
      </w:r>
      <w:r w:rsidR="000D05C8" w:rsidRPr="005E2BAD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</w:t>
      </w:r>
      <w:proofErr w:type="gramEnd"/>
      <w:r w:rsidR="00204A15">
        <w:rPr>
          <w:rFonts w:ascii="Garamond" w:hAnsi="Garamond"/>
          <w:sz w:val="22"/>
          <w:szCs w:val="22"/>
        </w:rPr>
        <w:t xml:space="preserve"> výrobky</w:t>
      </w:r>
      <w:r w:rsidR="00113AA6" w:rsidRPr="005E2BAD">
        <w:rPr>
          <w:rFonts w:ascii="Garamond" w:hAnsi="Garamond"/>
          <w:sz w:val="22"/>
          <w:szCs w:val="22"/>
        </w:rPr>
        <w:t xml:space="preserve"> </w:t>
      </w:r>
      <w:r w:rsidR="00113AA6" w:rsidRPr="005E2BAD">
        <w:rPr>
          <w:rFonts w:ascii="Garamond" w:hAnsi="Garamond"/>
          <w:sz w:val="22"/>
          <w:szCs w:val="22"/>
        </w:rPr>
        <w:lastRenderedPageBreak/>
        <w:t>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110779">
        <w:rPr>
          <w:rFonts w:ascii="Garamond" w:hAnsi="Garamond"/>
          <w:sz w:val="22"/>
          <w:szCs w:val="22"/>
        </w:rPr>
        <w:t>.</w:t>
      </w:r>
      <w:r w:rsidR="00113AA6" w:rsidRPr="005E2BAD">
        <w:rPr>
          <w:rFonts w:ascii="Garamond" w:hAnsi="Garamond"/>
          <w:sz w:val="22"/>
          <w:szCs w:val="22"/>
        </w:rPr>
        <w:t xml:space="preserve"> </w:t>
      </w:r>
    </w:p>
    <w:p w14:paraId="7EC6BD73" w14:textId="372CF230" w:rsidR="00DB0934" w:rsidRPr="00DB0934" w:rsidRDefault="00DB0934" w:rsidP="00D81325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 nebo </w:t>
      </w:r>
      <w:r w:rsidRPr="008C5827">
        <w:rPr>
          <w:rFonts w:ascii="Garamond" w:hAnsi="Garamond"/>
          <w:sz w:val="22"/>
          <w:szCs w:val="22"/>
        </w:rPr>
        <w:t>certifikaci TCO)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="00D81325">
        <w:rPr>
          <w:rFonts w:ascii="Garamond" w:hAnsi="Garamond"/>
          <w:sz w:val="22"/>
          <w:szCs w:val="22"/>
        </w:rPr>
        <w:t xml:space="preserve">nebo </w:t>
      </w:r>
      <w:r w:rsidRPr="008C5827">
        <w:rPr>
          <w:rFonts w:ascii="Garamond" w:hAnsi="Garamond"/>
          <w:sz w:val="22"/>
          <w:szCs w:val="22"/>
        </w:rPr>
        <w:t xml:space="preserve">TCO.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požadovanou certifikaci 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</w:t>
      </w:r>
      <w:proofErr w:type="spellStart"/>
      <w:r w:rsidR="005E599C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5E599C" w:rsidRPr="009701B1">
        <w:rPr>
          <w:rFonts w:ascii="Garamond" w:hAnsi="Garamond" w:cs="Arial"/>
          <w:sz w:val="22"/>
          <w:szCs w:val="22"/>
        </w:rPr>
        <w:t xml:space="preserve">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1A108B" w14:textId="77777777" w:rsidR="00F07DDE" w:rsidRDefault="00F07DDE" w:rsidP="00795AAC">
      <w:r>
        <w:separator/>
      </w:r>
    </w:p>
  </w:endnote>
  <w:endnote w:type="continuationSeparator" w:id="0">
    <w:p w14:paraId="451D75AF" w14:textId="77777777" w:rsidR="00F07DDE" w:rsidRDefault="00F07DDE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3F83F99A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8F13FB">
      <w:rPr>
        <w:rFonts w:ascii="Garamond" w:eastAsia="Arial" w:hAnsi="Garamond" w:cs="Arial"/>
        <w:noProof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8F13FB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825CEB" w14:textId="77777777" w:rsidR="00F07DDE" w:rsidRDefault="00F07DDE" w:rsidP="00795AAC">
      <w:r>
        <w:separator/>
      </w:r>
    </w:p>
  </w:footnote>
  <w:footnote w:type="continuationSeparator" w:id="0">
    <w:p w14:paraId="476223CE" w14:textId="77777777" w:rsidR="00F07DDE" w:rsidRDefault="00F07DDE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EE"/>
    <w:rsid w:val="000507AD"/>
    <w:rsid w:val="0005573E"/>
    <w:rsid w:val="00055C16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909A0"/>
    <w:rsid w:val="00095E03"/>
    <w:rsid w:val="000A4564"/>
    <w:rsid w:val="000A5773"/>
    <w:rsid w:val="000A5E08"/>
    <w:rsid w:val="000A7580"/>
    <w:rsid w:val="000B52D4"/>
    <w:rsid w:val="000B6122"/>
    <w:rsid w:val="000C0FC8"/>
    <w:rsid w:val="000D05C8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7C21"/>
    <w:rsid w:val="001268EA"/>
    <w:rsid w:val="00127368"/>
    <w:rsid w:val="00134601"/>
    <w:rsid w:val="00136141"/>
    <w:rsid w:val="0015056F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C4ABC"/>
    <w:rsid w:val="001D2457"/>
    <w:rsid w:val="001E0251"/>
    <w:rsid w:val="001E4E72"/>
    <w:rsid w:val="001E73C9"/>
    <w:rsid w:val="001F6DDB"/>
    <w:rsid w:val="002012BB"/>
    <w:rsid w:val="00203B39"/>
    <w:rsid w:val="00204A15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409E"/>
    <w:rsid w:val="0025555E"/>
    <w:rsid w:val="00257386"/>
    <w:rsid w:val="00264D89"/>
    <w:rsid w:val="00272068"/>
    <w:rsid w:val="002732D2"/>
    <w:rsid w:val="00274498"/>
    <w:rsid w:val="00280318"/>
    <w:rsid w:val="00281D4A"/>
    <w:rsid w:val="002865E4"/>
    <w:rsid w:val="0029036B"/>
    <w:rsid w:val="00294B61"/>
    <w:rsid w:val="00295C60"/>
    <w:rsid w:val="002A0263"/>
    <w:rsid w:val="002B026E"/>
    <w:rsid w:val="002B1F00"/>
    <w:rsid w:val="002B4A7E"/>
    <w:rsid w:val="002B59B9"/>
    <w:rsid w:val="002C475A"/>
    <w:rsid w:val="002C4C68"/>
    <w:rsid w:val="002C69A1"/>
    <w:rsid w:val="002C7593"/>
    <w:rsid w:val="002D61B6"/>
    <w:rsid w:val="002D62A7"/>
    <w:rsid w:val="002E188D"/>
    <w:rsid w:val="002E3083"/>
    <w:rsid w:val="002E4228"/>
    <w:rsid w:val="002E4432"/>
    <w:rsid w:val="002E4ED7"/>
    <w:rsid w:val="002E53C3"/>
    <w:rsid w:val="002E7930"/>
    <w:rsid w:val="002F419F"/>
    <w:rsid w:val="002F7598"/>
    <w:rsid w:val="003024B8"/>
    <w:rsid w:val="00305BB0"/>
    <w:rsid w:val="003063D6"/>
    <w:rsid w:val="0031024E"/>
    <w:rsid w:val="00311988"/>
    <w:rsid w:val="00320779"/>
    <w:rsid w:val="00324905"/>
    <w:rsid w:val="00331F6E"/>
    <w:rsid w:val="003320CF"/>
    <w:rsid w:val="00342F71"/>
    <w:rsid w:val="0034768E"/>
    <w:rsid w:val="00356341"/>
    <w:rsid w:val="00357688"/>
    <w:rsid w:val="00380881"/>
    <w:rsid w:val="00394CD4"/>
    <w:rsid w:val="00396BED"/>
    <w:rsid w:val="003A2A0C"/>
    <w:rsid w:val="003A4BA0"/>
    <w:rsid w:val="003B06D8"/>
    <w:rsid w:val="003B4D43"/>
    <w:rsid w:val="003C1FD6"/>
    <w:rsid w:val="003D116A"/>
    <w:rsid w:val="003D43B7"/>
    <w:rsid w:val="003D4537"/>
    <w:rsid w:val="003D50A4"/>
    <w:rsid w:val="003D52BD"/>
    <w:rsid w:val="003E3643"/>
    <w:rsid w:val="003E567A"/>
    <w:rsid w:val="003F73AE"/>
    <w:rsid w:val="003F767D"/>
    <w:rsid w:val="004059B7"/>
    <w:rsid w:val="00406F62"/>
    <w:rsid w:val="00423A32"/>
    <w:rsid w:val="00425FD2"/>
    <w:rsid w:val="004376D6"/>
    <w:rsid w:val="004400E1"/>
    <w:rsid w:val="004576B0"/>
    <w:rsid w:val="00475615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B06FE"/>
    <w:rsid w:val="004B20F9"/>
    <w:rsid w:val="004B68DB"/>
    <w:rsid w:val="004B779A"/>
    <w:rsid w:val="004D005B"/>
    <w:rsid w:val="004D1497"/>
    <w:rsid w:val="004D64CE"/>
    <w:rsid w:val="004D78EC"/>
    <w:rsid w:val="004E0ADA"/>
    <w:rsid w:val="004E15D6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3457"/>
    <w:rsid w:val="00571557"/>
    <w:rsid w:val="00592FF9"/>
    <w:rsid w:val="00596C39"/>
    <w:rsid w:val="005A0DEB"/>
    <w:rsid w:val="005A46CD"/>
    <w:rsid w:val="005A575C"/>
    <w:rsid w:val="005C01F9"/>
    <w:rsid w:val="005C72D9"/>
    <w:rsid w:val="005E1AA8"/>
    <w:rsid w:val="005E2BAD"/>
    <w:rsid w:val="005E599C"/>
    <w:rsid w:val="005F0AD3"/>
    <w:rsid w:val="00611EDF"/>
    <w:rsid w:val="006135F9"/>
    <w:rsid w:val="00617021"/>
    <w:rsid w:val="0064163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A4BA0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2046A"/>
    <w:rsid w:val="00730B83"/>
    <w:rsid w:val="00735FBF"/>
    <w:rsid w:val="00746B9F"/>
    <w:rsid w:val="00757EB6"/>
    <w:rsid w:val="00763198"/>
    <w:rsid w:val="007706A8"/>
    <w:rsid w:val="00780026"/>
    <w:rsid w:val="007919B3"/>
    <w:rsid w:val="00792068"/>
    <w:rsid w:val="00795AAC"/>
    <w:rsid w:val="007A5DDA"/>
    <w:rsid w:val="007B03E2"/>
    <w:rsid w:val="007C04E9"/>
    <w:rsid w:val="007C5244"/>
    <w:rsid w:val="007D473B"/>
    <w:rsid w:val="007D5726"/>
    <w:rsid w:val="007D7BDF"/>
    <w:rsid w:val="008009FE"/>
    <w:rsid w:val="00800FB4"/>
    <w:rsid w:val="00822D46"/>
    <w:rsid w:val="008252D0"/>
    <w:rsid w:val="0082680D"/>
    <w:rsid w:val="00841F0D"/>
    <w:rsid w:val="00854B10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DE7"/>
    <w:rsid w:val="008A6E01"/>
    <w:rsid w:val="008B025D"/>
    <w:rsid w:val="008B1A03"/>
    <w:rsid w:val="008B741E"/>
    <w:rsid w:val="008C2C2D"/>
    <w:rsid w:val="008D13AA"/>
    <w:rsid w:val="008D2B9F"/>
    <w:rsid w:val="008E0D1D"/>
    <w:rsid w:val="008E0F36"/>
    <w:rsid w:val="008E4A71"/>
    <w:rsid w:val="008E4AAB"/>
    <w:rsid w:val="008E694C"/>
    <w:rsid w:val="008F13FB"/>
    <w:rsid w:val="008F24EC"/>
    <w:rsid w:val="008F3D91"/>
    <w:rsid w:val="00906306"/>
    <w:rsid w:val="009149BA"/>
    <w:rsid w:val="00924ABD"/>
    <w:rsid w:val="00931CC1"/>
    <w:rsid w:val="00935123"/>
    <w:rsid w:val="00942A6B"/>
    <w:rsid w:val="009431F2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701B1"/>
    <w:rsid w:val="00971D47"/>
    <w:rsid w:val="00972AE0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C12D5"/>
    <w:rsid w:val="009D192E"/>
    <w:rsid w:val="009D41CD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691"/>
    <w:rsid w:val="00A24B4C"/>
    <w:rsid w:val="00A30B9B"/>
    <w:rsid w:val="00A30E5C"/>
    <w:rsid w:val="00A36CC3"/>
    <w:rsid w:val="00A419CB"/>
    <w:rsid w:val="00A436C9"/>
    <w:rsid w:val="00A467E8"/>
    <w:rsid w:val="00A51190"/>
    <w:rsid w:val="00A6168F"/>
    <w:rsid w:val="00A66D1E"/>
    <w:rsid w:val="00A76DEE"/>
    <w:rsid w:val="00A77624"/>
    <w:rsid w:val="00A82F84"/>
    <w:rsid w:val="00A86FC9"/>
    <w:rsid w:val="00A90797"/>
    <w:rsid w:val="00AA3B62"/>
    <w:rsid w:val="00AA7E60"/>
    <w:rsid w:val="00AC487C"/>
    <w:rsid w:val="00AC5408"/>
    <w:rsid w:val="00AC56B9"/>
    <w:rsid w:val="00AD4687"/>
    <w:rsid w:val="00AD69FB"/>
    <w:rsid w:val="00AE5B0B"/>
    <w:rsid w:val="00AE67B7"/>
    <w:rsid w:val="00AE6DAB"/>
    <w:rsid w:val="00AF315D"/>
    <w:rsid w:val="00B02193"/>
    <w:rsid w:val="00B06F64"/>
    <w:rsid w:val="00B12B58"/>
    <w:rsid w:val="00B1308A"/>
    <w:rsid w:val="00B16994"/>
    <w:rsid w:val="00B21A1B"/>
    <w:rsid w:val="00B22D5E"/>
    <w:rsid w:val="00B25E4B"/>
    <w:rsid w:val="00B31681"/>
    <w:rsid w:val="00B35FCD"/>
    <w:rsid w:val="00B507B9"/>
    <w:rsid w:val="00B64919"/>
    <w:rsid w:val="00B75A72"/>
    <w:rsid w:val="00B92754"/>
    <w:rsid w:val="00B94B93"/>
    <w:rsid w:val="00BA2E0E"/>
    <w:rsid w:val="00BA36B4"/>
    <w:rsid w:val="00BB33E6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C034BD"/>
    <w:rsid w:val="00C03A55"/>
    <w:rsid w:val="00C232BE"/>
    <w:rsid w:val="00C27316"/>
    <w:rsid w:val="00C310DC"/>
    <w:rsid w:val="00C31F1D"/>
    <w:rsid w:val="00C45272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B7D25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29AD"/>
    <w:rsid w:val="00CF3EA1"/>
    <w:rsid w:val="00D05AA8"/>
    <w:rsid w:val="00D06321"/>
    <w:rsid w:val="00D07360"/>
    <w:rsid w:val="00D31A32"/>
    <w:rsid w:val="00D33A74"/>
    <w:rsid w:val="00D33F22"/>
    <w:rsid w:val="00D43D0D"/>
    <w:rsid w:val="00D452F8"/>
    <w:rsid w:val="00D47794"/>
    <w:rsid w:val="00D555A3"/>
    <w:rsid w:val="00D57265"/>
    <w:rsid w:val="00D602A9"/>
    <w:rsid w:val="00D64A33"/>
    <w:rsid w:val="00D7497E"/>
    <w:rsid w:val="00D81325"/>
    <w:rsid w:val="00D9272D"/>
    <w:rsid w:val="00DA44E6"/>
    <w:rsid w:val="00DB0934"/>
    <w:rsid w:val="00DB0A8D"/>
    <w:rsid w:val="00DB1DE5"/>
    <w:rsid w:val="00DB1E0D"/>
    <w:rsid w:val="00DB45AA"/>
    <w:rsid w:val="00DB7223"/>
    <w:rsid w:val="00DC15A5"/>
    <w:rsid w:val="00DC5ED1"/>
    <w:rsid w:val="00DC706F"/>
    <w:rsid w:val="00DE1BD2"/>
    <w:rsid w:val="00DE4940"/>
    <w:rsid w:val="00DF16B0"/>
    <w:rsid w:val="00DF3053"/>
    <w:rsid w:val="00E01B4D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3764"/>
    <w:rsid w:val="00E57361"/>
    <w:rsid w:val="00E5758A"/>
    <w:rsid w:val="00E617C7"/>
    <w:rsid w:val="00E6671F"/>
    <w:rsid w:val="00E66C11"/>
    <w:rsid w:val="00E7390F"/>
    <w:rsid w:val="00E760FE"/>
    <w:rsid w:val="00E76775"/>
    <w:rsid w:val="00E929D9"/>
    <w:rsid w:val="00E97754"/>
    <w:rsid w:val="00E97F2D"/>
    <w:rsid w:val="00EA3A13"/>
    <w:rsid w:val="00EA6FA7"/>
    <w:rsid w:val="00EB194D"/>
    <w:rsid w:val="00EB4ACA"/>
    <w:rsid w:val="00EB5C98"/>
    <w:rsid w:val="00EB6175"/>
    <w:rsid w:val="00EB7A9F"/>
    <w:rsid w:val="00EC3FE3"/>
    <w:rsid w:val="00EC4F3F"/>
    <w:rsid w:val="00ED403B"/>
    <w:rsid w:val="00EE026A"/>
    <w:rsid w:val="00EE44DF"/>
    <w:rsid w:val="00EF4959"/>
    <w:rsid w:val="00F033C6"/>
    <w:rsid w:val="00F0543A"/>
    <w:rsid w:val="00F07DDE"/>
    <w:rsid w:val="00F1168E"/>
    <w:rsid w:val="00F228FA"/>
    <w:rsid w:val="00F230C8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4593"/>
    <w:rsid w:val="00F976E9"/>
    <w:rsid w:val="00FA7FB2"/>
    <w:rsid w:val="00FB284E"/>
    <w:rsid w:val="00FC0944"/>
    <w:rsid w:val="00FC0BF3"/>
    <w:rsid w:val="00FC18D6"/>
    <w:rsid w:val="00FC3C9F"/>
    <w:rsid w:val="00FC51AF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4724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Bq3C+yVkklh0MGybfNBM3FniJd4NJMrdz5sGw1f6WPE=</DigestValue>
    </Reference>
    <Reference Type="http://www.w3.org/2000/09/xmldsig#Object" URI="#idOfficeObject">
      <DigestMethod Algorithm="http://www.w3.org/2001/04/xmlenc#sha256"/>
      <DigestValue>XXmpYgaQXFn3J7WR6lvEtdei9WUX+2fNx8goQZzEqzs=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DCNHq/otp/Cilmh9fp5yxE8efrm3KYS4xXS7hW48bDA=</DigestValue>
    </Reference>
  </SignedInfo>
  <SignatureValue>oSO6/tL0mySSGkz0XEeqtFQdMm/XX8Dcl3kH5cazWi/uE5iSycMWDoM5qMGOgNaUEklhRRgP3q7E
8+stajJiBnhuyK6KLGj7WUmBxOT7QuO0507aW/Sbh4lhtN+YXDnnr+ZZQ9pAY7O+KrFXVLKoovyW
VzgLspy6Th+EmOOLW++mPnRFMALWJK/5Dz+ue9IYpKNVN3F/OTZTxQA4cCTy//bx4y96b2P0gcRA
lg6/NIFqP9XuEdHC0UskghjIwyUMlrb8OHdfCHOZj9Q6S1D8XLZYIhM2xZa7Zn6urdAMdgL6QTqV
oSS1d9AVehwFoCHCjmEfm0l30yX6G063+mRDgA==</SignatureValue>
  <KeyInfo>
    <X509Data>
      <X509Certificate>MIIInjCCBoagAwIBAgIEAVQuPjANBgkqhkiG9w0BAQsFADBpMQswCQYDVQQGEwJDWjEXMBUGA1UEYRMOTlRSQ1otNDcxMTQ5ODMxHTAbBgNVBAoMFMSMZXNrw6EgcG/FoXRhLCBzLnAuMSIwIAYDVQQDExlQb3N0U2lnbnVtIFF1YWxpZmllZCBDQSA0MB4XDTIwMTIwNzE0NTcyM1oXDTIxMTIyNzE0NTcyM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ww0dblaRsVAsd1x+FraBUbVT9SStj62eRxQtcleUoT1uwMtZAE/l/pqaLvLT/BviTzT8XNauud5W1oGG3440yzNJKdlH8ZoP2fgYwRkjeJ/i4A8JCDbLlYEU2eo6CFMKCDV/qAY94CUXSoQh2liT95rt5o4A6Dua2fvUgIdH7s4pHGgdUnbneTFqnO0EbGIdufnxHmazOqMKn1oj+tAoOV1EvewH9j+gRlIBFtst89bnYXXD6u0xoIyBv6OVphr/VwdWJSML/vSuRRvX7tfR+XGDtk53+iYQqFm4XvGCxl+EdKUasktlH6nYyjMw/kj0y9sHCFuo4nEepA+JzB4G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</Transform>
          <Transform Algorithm="http://www.w3.org/TR/2001/REC-xml-c14n-20010315"/>
        </Transforms>
        <DigestMethod Algorithm="http://www.w3.org/2001/04/xmlenc#sha256"/>
        <DigestValue>G8FRSEgWjBeBlTnj0wnTtbQNnqTKmoSCugtsQW13MAk=</DigestValue>
      </Reference>
      <Reference URI="/word/document.xml?ContentType=application/vnd.openxmlformats-officedocument.wordprocessingml.document.main+xml">
        <DigestMethod Algorithm="http://www.w3.org/2001/04/xmlenc#sha256"/>
        <DigestValue>QVx0wOtZBfL4yFojAjkyKI7L5LtZ5oVq05nrevLsskE=</DigestValue>
      </Reference>
      <Reference URI="/word/endnotes.xml?ContentType=application/vnd.openxmlformats-officedocument.wordprocessingml.endnotes+xml">
        <DigestMethod Algorithm="http://www.w3.org/2001/04/xmlenc#sha256"/>
        <DigestValue>U/pBN7Z1wUwqElyUxG5YaiALFtFo7gY4JoKEfPNrzqU=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FY4KvXj0GVuFYbOH5ekK8eXnheguooXM5D2dyliHb8A=</DigestValue>
      </Reference>
      <Reference URI="/word/footnotes.xml?ContentType=application/vnd.openxmlformats-officedocument.wordprocessingml.footnotes+xml">
        <DigestMethod Algorithm="http://www.w3.org/2001/04/xmlenc#sha256"/>
        <DigestValue>gfuDRBtI4plV4P5o8/ZEtvaKI3KzZa9e0zbv+i6yJO0=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RS0MZcCoEcQ6n5QClI+8si6I/Fu4PYiMuCkwlnB2b9s=</DigestValue>
      </Reference>
      <Reference URI="/word/settings.xml?ContentType=application/vnd.openxmlformats-officedocument.wordprocessingml.settings+xml">
        <DigestMethod Algorithm="http://www.w3.org/2001/04/xmlenc#sha256"/>
        <DigestValue>Ai+1kqEABunvSKHEM1ePvAQpRcC56NdiMyviXA8QWcc=</DigestValue>
      </Reference>
      <Reference URI="/word/styles.xml?ContentType=application/vnd.openxmlformats-officedocument.wordprocessingml.styles+xml">
        <DigestMethod Algorithm="http://www.w3.org/2001/04/xmlenc#sha256"/>
        <DigestValue>sOzxO5ZJGaYteBde6ggFWgXhQ15hvfpe9df4YoQUmc0=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2021-07-30T11:10:55Z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16.0.10376/14</OfficeVersion>
          <ApplicationVersion>16.0.10376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2021-07-30T11:10:55Z</xd:SigningTime>
          <xd:SigningCertificate>
            <xd:Cert>
              <xd:CertDigest>
                <DigestMethod Algorithm="http://www.w3.org/2001/04/xmlenc#sha256"/>
                <DigestValue>SIGu5+bWgUsftz4F/SqjvO56zesoJpAJckrpTagpdDM=</DigestValue>
              </xd:CertDigest>
              <xd:IssuerSerial>
                <X509IssuerName>CN=PostSignum Qualified CA 4, O="Česká pošta, s.p.", OID.2.5.4.97=NTRCZ-47114983, C=CZ</X509IssuerName>
                <X509SerialNumber>22294078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CDA83B-DC59-4210-9240-40A18B6BD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5</Pages>
  <Words>2161</Words>
  <Characters>12754</Characters>
  <Application>Microsoft Office Word</Application>
  <DocSecurity>0</DocSecurity>
  <Lines>106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40</cp:revision>
  <cp:lastPrinted>2018-08-08T13:48:00Z</cp:lastPrinted>
  <dcterms:created xsi:type="dcterms:W3CDTF">2021-03-23T06:31:00Z</dcterms:created>
  <dcterms:modified xsi:type="dcterms:W3CDTF">2021-07-30T11:10:00Z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