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D4A5CF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8D64CC">
        <w:rPr>
          <w:rFonts w:ascii="Garamond" w:hAnsi="Garamond"/>
          <w:sz w:val="24"/>
          <w:szCs w:val="24"/>
        </w:rPr>
        <w:t>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832779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bookmarkStart w:id="0" w:name="_GoBack"/>
      <w:r w:rsidR="008D64CC">
        <w:rPr>
          <w:rFonts w:ascii="Garamond" w:hAnsi="Garamond" w:cs="Arial"/>
          <w:sz w:val="22"/>
          <w:szCs w:val="22"/>
        </w:rPr>
        <w:fldChar w:fldCharType="begin"/>
      </w:r>
      <w:r w:rsidR="008D64CC">
        <w:rPr>
          <w:rFonts w:ascii="Garamond" w:hAnsi="Garamond" w:cs="Arial"/>
          <w:sz w:val="22"/>
          <w:szCs w:val="22"/>
        </w:rPr>
        <w:instrText xml:space="preserve"> HYPERLINK "</w:instrText>
      </w:r>
      <w:r w:rsidR="008D64CC" w:rsidRPr="008D64CC">
        <w:rPr>
          <w:rFonts w:ascii="Garamond" w:hAnsi="Garamond" w:cs="Arial"/>
          <w:sz w:val="22"/>
          <w:szCs w:val="22"/>
        </w:rPr>
        <w:instrText>https://zakazky.zcu.cz/contract_display_4672.html</w:instrText>
      </w:r>
      <w:r w:rsidR="008D64CC">
        <w:rPr>
          <w:rFonts w:ascii="Garamond" w:hAnsi="Garamond" w:cs="Arial"/>
          <w:sz w:val="22"/>
          <w:szCs w:val="22"/>
        </w:rPr>
        <w:instrText xml:space="preserve">" </w:instrText>
      </w:r>
      <w:r w:rsidR="008D64CC">
        <w:rPr>
          <w:rFonts w:ascii="Garamond" w:hAnsi="Garamond" w:cs="Arial"/>
          <w:sz w:val="22"/>
          <w:szCs w:val="22"/>
        </w:rPr>
        <w:fldChar w:fldCharType="separate"/>
      </w:r>
      <w:r w:rsidR="008D64CC" w:rsidRPr="00D20AD5">
        <w:rPr>
          <w:rStyle w:val="Hypertextovodkaz"/>
          <w:rFonts w:ascii="Garamond" w:hAnsi="Garamond" w:cs="Arial"/>
          <w:sz w:val="22"/>
          <w:szCs w:val="22"/>
        </w:rPr>
        <w:t>https://zakazky.zcu.cz/contract_display_4672.html</w:t>
      </w:r>
      <w:r w:rsidR="008D64CC">
        <w:rPr>
          <w:rFonts w:ascii="Garamond" w:hAnsi="Garamond" w:cs="Arial"/>
          <w:sz w:val="22"/>
          <w:szCs w:val="22"/>
        </w:rPr>
        <w:fldChar w:fldCharType="end"/>
      </w:r>
      <w:bookmarkEnd w:id="0"/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F36E72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8D64CC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8D64CC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0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1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2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4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5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B4A38" w14:textId="77777777" w:rsidR="00990F65" w:rsidRDefault="00990F65" w:rsidP="00795AAC">
      <w:r>
        <w:separator/>
      </w:r>
    </w:p>
  </w:endnote>
  <w:endnote w:type="continuationSeparator" w:id="0">
    <w:p w14:paraId="043A5341" w14:textId="77777777" w:rsidR="00990F65" w:rsidRDefault="00990F6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FCBB3" w14:textId="77777777" w:rsidR="00990F65" w:rsidRDefault="00990F65" w:rsidP="00795AAC">
      <w:r>
        <w:separator/>
      </w:r>
    </w:p>
  </w:footnote>
  <w:footnote w:type="continuationSeparator" w:id="0">
    <w:p w14:paraId="67A91ED1" w14:textId="77777777" w:rsidR="00990F65" w:rsidRDefault="00990F6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D64CC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0F65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www.energystar.gov/product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Relationship Id="rId14" Type="http://schemas.openxmlformats.org/officeDocument/2006/relationships/hyperlink" Target="https://www.cpubenchmark.n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LYtJOBuw0gvx4CUgTP/mrIFWOGJ/a2TzQm3XjEpLsQQ=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havmBdez3+zobjWg5n4F23K7rNr3Yz4moohVaDRnrpQ=</DigestValue>
    </Reference>
  </SignedInfo>
  <SignatureValue>uwUkhMl/SNCmcwMqT0qcCnG7JbhmYQdStd/3U63lpYfRMb5dLVBkg3TvGs9jP1OS62q01/8kx/BV
Zv6REX5wU/lug6bjPUBRBAbi3hLMc5rBeXwKz2SULMTnOHRwjqIUtDFjcAJ1h92SMMuuOyPxs0A+
rejYDtB0LOx/0p6m/8cm6RHTrAqf0hFaBImi9QrFI4XqjprV5AUGLkYkJ0sMqfBESm42af6FMpQ1
EKfqhCDxQsrBW8k8nsSm/I//qy1S4EcSF4dx68l29CG9XiZRdIsinSe1z5IIcwDju9Qe9UdGlLPm
6ZFrRI7as4MZuXuH/XnowMmKcpYnkParV6IIgA==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vM98SnHuQvA0x0Mgd1M9C/WWb6LxKI6nJvNnnysxULE=</DigestValue>
      </Reference>
      <Reference URI="/word/document.xml?ContentType=application/vnd.openxmlformats-officedocument.wordprocessingml.document.main+xml">
        <DigestMethod Algorithm="http://www.w3.org/2001/04/xmlenc#sha256"/>
        <DigestValue>yZph9Hm+EppwwUVBbY64jVejIb84tazG4tA9U43qZzw=</DigestValue>
      </Reference>
      <Reference URI="/word/endnotes.xml?ContentType=application/vnd.openxmlformats-officedocument.wordprocessingml.endnotes+xml">
        <DigestMethod Algorithm="http://www.w3.org/2001/04/xmlenc#sha256"/>
        <DigestValue>CTL6fvuHKk1EtD/kWJrJnZpjKscLilfB0dtSBPrbZGA=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j9fMrAQP1kcNbP+3GuGsgqp3260AsQDa1R4EU92xR+8=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DhC4WEe2OQAdmgrUJAsVZ8xxRqaG89jiDREiFZJ6aQM=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2021-07-12T10:44:34Z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2021-07-12T10:44:34Z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EB0DF-61D7-439F-B716-694B95AF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34</cp:revision>
  <cp:lastPrinted>2018-08-08T13:48:00Z</cp:lastPrinted>
  <dcterms:created xsi:type="dcterms:W3CDTF">2021-03-23T06:31:00Z</dcterms:created>
  <dcterms:modified xsi:type="dcterms:W3CDTF">2021-07-12T10:44:00Z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