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898F7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FC0BF3">
        <w:rPr>
          <w:rFonts w:ascii="Garamond" w:hAnsi="Garamond"/>
          <w:sz w:val="24"/>
          <w:szCs w:val="24"/>
        </w:rPr>
        <w:t>019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1A03A2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C0BF3" w:rsidRPr="00A0187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https://zakazky.zcu.cz/contract_display_4502.html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D8500A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149BA">
        <w:rPr>
          <w:rFonts w:ascii="Garamond" w:hAnsi="Garamond" w:cs="Arial"/>
          <w:sz w:val="22"/>
          <w:szCs w:val="22"/>
        </w:rPr>
        <w:t>06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C0BF3">
        <w:rPr>
          <w:rFonts w:ascii="Garamond" w:hAnsi="Garamond" w:cs="Arial"/>
          <w:sz w:val="22"/>
          <w:szCs w:val="22"/>
        </w:rPr>
        <w:t>10:¨0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1318" w14:textId="77777777" w:rsidR="002A0263" w:rsidRDefault="002A0263" w:rsidP="00795AAC">
      <w:r>
        <w:separator/>
      </w:r>
    </w:p>
  </w:endnote>
  <w:endnote w:type="continuationSeparator" w:id="0">
    <w:p w14:paraId="0CDB9AB8" w14:textId="77777777" w:rsidR="002A0263" w:rsidRDefault="002A02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C0BF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C0BF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402C" w14:textId="77777777" w:rsidR="002A0263" w:rsidRDefault="002A0263" w:rsidP="00795AAC">
      <w:r>
        <w:separator/>
      </w:r>
    </w:p>
  </w:footnote>
  <w:footnote w:type="continuationSeparator" w:id="0">
    <w:p w14:paraId="2C1336BB" w14:textId="77777777" w:rsidR="002A0263" w:rsidRDefault="002A02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02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eCed853U56VKYH0xTyILPTgWhCA=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+hTjqG0sN2Ei2YE39HiPdEbg3RU=</DigestValue>
    </Reference>
  </SignedInfo>
  <SignatureValue>BgHeSKTwzhHCR1kuDSSD6JU1ttUaqNkGFSH4cdhK38KRLOhNdkkZPC3nZEZhiKdbgwHhTaP7sZAt
HgR90uRNDFeFIC3q9EFJ7RmnWEoO6pfq6o0/4dJCjB7aGNlSLB1otqcYZK6QFEBSwTNQk1A6sPYQ
K2PCPoA6XtoUP8Cl560iPENUNfYVD4a8i1YHASly84WIp9CKnW7xXasah06He97q6gF5bXmEYoVn
uX1X0SoYhvLCgEDJ2B0ucdPj/7DsbX1QwXWNR2WCv62SkUDbHkJmbiEsHtDWXpA0Nju3gSeGl1rL
FrkZsPkjq2ISRQoINxYbPN3S2P1xPXy5/yJBjw==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cdsBRHF1LfzMTWLIZz71kzYpzu0=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f6poCJiI+meJrbOEernrJ2oCLK4=</DigestValue>
      </Reference>
      <Reference URI="/word/document.xml?ContentType=application/vnd.openxmlformats-officedocument.wordprocessingml.document.main+xml">
        <DigestMethod Algorithm="http://www.w3.org/2000/09/xmldsig#sha1"/>
        <DigestValue>Fom3ulbfaRFfJPC36Et9vh5e/eE=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2QeIpsfknTGXv2vXVwlGuTa6pTg=</DigestValue>
      </Reference>
      <Reference URI="/word/endnotes.xml?ContentType=application/vnd.openxmlformats-officedocument.wordprocessingml.endnotes+xml">
        <DigestMethod Algorithm="http://www.w3.org/2000/09/xmldsig#sha1"/>
        <DigestValue>CimAnqQbEI/CHQbhMOtNDs6LOwQ=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ahxzzpyNQdmrqGsUVurcsKq1zRY=</DigestValue>
      </Reference>
    </Manifest>
    <SignatureProperties>
      <SignatureProperty Id="idSignatureTime" Target="#idPackageSignature">
        <mdssi:SignatureTime>
          <mdssi:Format>YYYY-MM-DDThh:mm:ssTZD</mdssi:Format>
          <mdssi:Value>2021-03-24T06:27:11Z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2021-03-24T06:27:11Z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6ADA2-464F-4340-974A-C79F07FC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2161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4</cp:revision>
  <cp:lastPrinted>2018-08-08T13:48:00Z</cp:lastPrinted>
  <dcterms:created xsi:type="dcterms:W3CDTF">2021-03-23T06:31:00Z</dcterms:created>
  <dcterms:modified xsi:type="dcterms:W3CDTF">2021-03-24T06:27:00Z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