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w:t>
      </w:r>
      <w:r w:rsidR="0086609D">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w:t>
      </w:r>
      <w:r w:rsidR="0086609D">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E6748">
        <w:rPr>
          <w:rFonts w:ascii="Garamond" w:hAnsi="Garamond"/>
          <w:b/>
          <w:highlight w:val="yellow"/>
        </w:rPr>
        <w:t>10</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86609D">
        <w:rPr>
          <w:rFonts w:ascii="Garamond" w:hAnsi="Garamond"/>
          <w:b/>
          <w:highlight w:val="yellow"/>
        </w:rPr>
        <w:t>10</w:t>
      </w:r>
      <w:r w:rsidR="00A010C5">
        <w:rPr>
          <w:rFonts w:ascii="Garamond" w:hAnsi="Garamond"/>
          <w:b/>
          <w:highlight w:val="yellow"/>
        </w:rPr>
        <w:t>:</w:t>
      </w:r>
      <w:r w:rsidR="0086609D">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w:t>
      </w:r>
      <w:bookmarkStart w:id="38" w:name="_GoBack"/>
      <w:bookmarkEnd w:id="38"/>
      <w:r w:rsidRPr="00112348">
        <w:rPr>
          <w:rFonts w:ascii="Garamond" w:hAnsi="Garamond"/>
        </w:rPr>
        <w:t>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09D"/>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E6748"/>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0BDF"/>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FC5D16"/>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B2S2mqmkSWDJJJ6wZXmOsqPhy0TKvkDe5UUjPo1+9oQ=</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LB79VNQmI2+h4oFrRyZUsPt01xnzValcDSozD+KOdCk=</DigestValue>
    </Reference>
  </SignedInfo>
  <SignatureValue>e8P4ec8wPEe7HgkfOpKAgIyAfwY2yiYx1rNtCIAGx8zyC7Hkwfu1AdvgRo5XkdYAqe2MgnxL5UCh
xov2aDzMRsfxhdV23q+rU4YmnRKCv7xpAtE8Dm5EXOCBJhv+6Uif1oSPESA7zwKV2alDUbno7gn5
VuuHOvqxO/5gdWI/4IVUKAhu1wl9sQAJj3aq7Bz69YoIxycPEH350IS/R4iwWmMXT1HGg2UaLH2f
RFed9NUgcdnSQXaz5JViOfryUx0TbU2hddP7eBgSEN8qmnBPHCX2qcI8RKMcmx+QwVCccCvj2dyQ
MkAoySPMzP8pqlUHhOZe5GlqcqxOlPHLZ/x3OA==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wP3f6JzWVRtM5fgYsC6l9D9b95ZnmfvnzNunaIf3EGw=</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jgLWNa9rSdMQOo2CLRGo41g5+Dahwn2viiA+D6nYoYY=</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2020-10-30T09:30:30Z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2020-10-30T09:30:30Z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D4E00-FE5E-426B-B7D6-AC7A54288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87</cp:revision>
  <cp:lastPrinted>2019-08-21T11:45:00Z</cp:lastPrinted>
  <dcterms:created xsi:type="dcterms:W3CDTF">2019-06-07T05:01:00Z</dcterms:created>
  <dcterms:modified xsi:type="dcterms:W3CDTF">2020-10-30T09:30:00Z</dcterms:modified>
</cp:coreProperties>
</file>