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700366">
        <w:rPr>
          <w:rFonts w:ascii="Garamond" w:hAnsi="Garamond"/>
          <w:b/>
          <w:bCs/>
          <w:sz w:val="32"/>
          <w:szCs w:val="36"/>
        </w:rPr>
        <w:t>6</w:t>
      </w:r>
      <w:r w:rsidR="00782739">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700366">
        <w:rPr>
          <w:rFonts w:ascii="Garamond" w:hAnsi="Garamond"/>
          <w:b/>
          <w:bCs/>
        </w:rPr>
        <w:t>6</w:t>
      </w:r>
      <w:r w:rsidR="00782739">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C7808">
        <w:rPr>
          <w:rFonts w:ascii="Garamond" w:hAnsi="Garamond"/>
          <w:b/>
        </w:rPr>
        <w:t>hách</w:t>
      </w:r>
      <w:r w:rsidRPr="00F007F1">
        <w:rPr>
          <w:rFonts w:ascii="Garamond" w:hAnsi="Garamond"/>
          <w:b/>
        </w:rPr>
        <w:t xml:space="preserve"> návrhu Kupní smlouvy</w:t>
      </w:r>
      <w:r w:rsidRPr="00727E8E">
        <w:rPr>
          <w:rFonts w:ascii="Garamond" w:hAnsi="Garamond"/>
        </w:rPr>
        <w:t>, kter</w:t>
      </w:r>
      <w:r w:rsidR="00EC7808">
        <w:rPr>
          <w:rFonts w:ascii="Garamond" w:hAnsi="Garamond"/>
        </w:rPr>
        <w:t>é</w:t>
      </w:r>
      <w:r w:rsidRPr="00727E8E">
        <w:rPr>
          <w:rFonts w:ascii="Garamond" w:hAnsi="Garamond"/>
        </w:rPr>
        <w:t xml:space="preserve"> tvoří Přílohu č. 1</w:t>
      </w:r>
      <w:r w:rsidR="00EC7808">
        <w:rPr>
          <w:rFonts w:ascii="Garamond" w:hAnsi="Garamond"/>
        </w:rPr>
        <w:t>,2 a 3</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 xml:space="preserve">Místem plnění jsou objekty ZČU, kdy </w:t>
      </w:r>
      <w:r w:rsidR="005A2E60" w:rsidRPr="00D03161">
        <w:rPr>
          <w:rFonts w:ascii="Garamond" w:hAnsi="Garamond"/>
          <w:b/>
        </w:rPr>
        <w:t>přesná specifikace místa plnění konkrétní položky je uvedena v Příloze č. 1</w:t>
      </w:r>
      <w:r w:rsidR="005A2E60" w:rsidRPr="00112348">
        <w:rPr>
          <w:rFonts w:ascii="Garamond" w:hAnsi="Garamond"/>
        </w:rPr>
        <w:t xml:space="preserve"> návrhu Kupní smlouvy, který tvoří Přílohu č. 1 této Výzvy.</w:t>
      </w:r>
    </w:p>
    <w:p w:rsidR="00C60225" w:rsidRPr="00112348" w:rsidRDefault="00D03161" w:rsidP="00D03161">
      <w:pPr>
        <w:spacing w:after="120"/>
        <w:ind w:left="3537" w:hanging="3105"/>
        <w:jc w:val="both"/>
        <w:rPr>
          <w:rFonts w:ascii="Garamond" w:hAnsi="Garamond"/>
        </w:rPr>
      </w:pPr>
      <w:r>
        <w:rPr>
          <w:rFonts w:ascii="Garamond" w:hAnsi="Garamond"/>
        </w:rPr>
        <w:tab/>
      </w: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782739">
        <w:rPr>
          <w:rFonts w:ascii="Garamond" w:hAnsi="Garamond"/>
          <w:b/>
        </w:rPr>
        <w:t>9</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782739">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782739">
        <w:rPr>
          <w:rFonts w:ascii="Garamond" w:hAnsi="Garamond"/>
        </w:rPr>
        <w:t>é</w:t>
      </w:r>
      <w:r w:rsidR="002D57EA" w:rsidRPr="00112348">
        <w:rPr>
          <w:rFonts w:ascii="Garamond" w:hAnsi="Garamond"/>
        </w:rPr>
        <w:t xml:space="preserve"> tvoří Přílohu č. </w:t>
      </w:r>
      <w:r w:rsidR="00C60225">
        <w:rPr>
          <w:rFonts w:ascii="Garamond" w:hAnsi="Garamond"/>
        </w:rPr>
        <w:t>1</w:t>
      </w:r>
      <w:r w:rsidR="00782739">
        <w:rPr>
          <w:rFonts w:ascii="Garamond" w:hAnsi="Garamond"/>
        </w:rPr>
        <w:t>,2 a 3</w:t>
      </w:r>
      <w:r w:rsidR="00C60225">
        <w:rPr>
          <w:rFonts w:ascii="Garamond" w:hAnsi="Garamond"/>
        </w:rPr>
        <w:t xml:space="preserve">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782739" w:rsidRDefault="00782739" w:rsidP="00782739">
      <w:pPr>
        <w:pStyle w:val="Zkladntext"/>
        <w:spacing w:before="50" w:line="268" w:lineRule="exact"/>
        <w:ind w:left="216"/>
      </w:pPr>
    </w:p>
    <w:p w:rsidR="00782739" w:rsidRPr="00782739" w:rsidRDefault="00782739" w:rsidP="00782739">
      <w:pPr>
        <w:pStyle w:val="Nadpis2"/>
        <w:spacing w:before="240" w:after="120"/>
        <w:ind w:left="425" w:hanging="426"/>
        <w:jc w:val="both"/>
        <w:rPr>
          <w:rFonts w:ascii="Garamond" w:hAnsi="Garamond"/>
          <w:sz w:val="22"/>
          <w:szCs w:val="22"/>
        </w:rPr>
      </w:pPr>
      <w:r w:rsidRPr="00782739">
        <w:rPr>
          <w:rFonts w:ascii="Garamond" w:hAnsi="Garamond"/>
          <w:sz w:val="22"/>
          <w:szCs w:val="22"/>
        </w:rPr>
        <w:lastRenderedPageBreak/>
        <w:t xml:space="preserve">5.1 </w:t>
      </w:r>
      <w:r>
        <w:rPr>
          <w:rFonts w:ascii="Garamond" w:hAnsi="Garamond"/>
          <w:sz w:val="22"/>
          <w:szCs w:val="22"/>
        </w:rPr>
        <w:t xml:space="preserve">  </w:t>
      </w:r>
      <w:r w:rsidRPr="00782739">
        <w:rPr>
          <w:rFonts w:ascii="Garamond" w:hAnsi="Garamond"/>
          <w:sz w:val="22"/>
          <w:szCs w:val="22"/>
        </w:rPr>
        <w:t>TECHNICKÁ ČÁST NABÍDKY MUSÍ OBSAHOVAT</w:t>
      </w:r>
    </w:p>
    <w:p w:rsidR="00782739" w:rsidRPr="00782739" w:rsidRDefault="00782739" w:rsidP="00782739">
      <w:pPr>
        <w:pStyle w:val="Zkladntext"/>
        <w:spacing w:before="50" w:line="268" w:lineRule="exact"/>
        <w:ind w:left="216" w:firstLine="216"/>
        <w:rPr>
          <w:rFonts w:ascii="Garamond" w:eastAsiaTheme="majorEastAsia" w:hAnsi="Garamond" w:cstheme="majorBidi"/>
          <w:bCs/>
          <w:sz w:val="22"/>
          <w:szCs w:val="22"/>
          <w:u w:val="none"/>
        </w:rPr>
      </w:pPr>
    </w:p>
    <w:p w:rsidR="00782739" w:rsidRPr="00782739" w:rsidRDefault="00782739" w:rsidP="00782739">
      <w:pPr>
        <w:spacing w:after="120"/>
        <w:ind w:left="432"/>
        <w:jc w:val="both"/>
        <w:rPr>
          <w:rFonts w:ascii="Garamond" w:hAnsi="Garamond"/>
        </w:rPr>
      </w:pPr>
      <w:r w:rsidRPr="00782739">
        <w:rPr>
          <w:rFonts w:ascii="Garamond" w:hAnsi="Garamond"/>
        </w:rPr>
        <w:t>Podrobný popis technických a funkčních parametrů nabízeného řešení, z něhož bude jasně patrné splnění jednotlivých položek technických a funkčních požadavků technického zadání.</w:t>
      </w:r>
    </w:p>
    <w:p w:rsidR="00782739" w:rsidRPr="00782739" w:rsidRDefault="00782739" w:rsidP="00782739">
      <w:pPr>
        <w:spacing w:after="120"/>
        <w:ind w:left="432"/>
        <w:jc w:val="both"/>
        <w:rPr>
          <w:rFonts w:ascii="Garamond" w:hAnsi="Garamond"/>
        </w:rPr>
      </w:pPr>
      <w:r w:rsidRPr="00782739">
        <w:rPr>
          <w:rFonts w:ascii="Garamond" w:hAnsi="Garamond"/>
        </w:rPr>
        <w:t>Podrobný popis servisních a záručních podmínek, z něhož bude jasně patrné splnění jednotlivých položek servisních a záručních požadavků zadání.</w:t>
      </w:r>
    </w:p>
    <w:p w:rsidR="00782739" w:rsidRPr="00782739" w:rsidRDefault="00782739" w:rsidP="00782739">
      <w:pPr>
        <w:spacing w:after="120"/>
        <w:ind w:left="432"/>
        <w:jc w:val="both"/>
        <w:rPr>
          <w:rFonts w:ascii="Garamond" w:hAnsi="Garamond"/>
        </w:rPr>
      </w:pPr>
      <w:r w:rsidRPr="00782739">
        <w:rPr>
          <w:rFonts w:ascii="Garamond" w:hAnsi="Garamond"/>
        </w:rPr>
        <w:t>Podrobnou položkovou specifikaci nabízených zařízení (např. typů šasi, jednotlivých modulů, operačního software, napájecích zdrojů apod.).</w:t>
      </w:r>
    </w:p>
    <w:p w:rsidR="00782739" w:rsidRPr="00ED3EBB" w:rsidRDefault="00782739" w:rsidP="00281DD0">
      <w:pPr>
        <w:spacing w:after="120"/>
        <w:ind w:left="432"/>
        <w:jc w:val="both"/>
        <w:rPr>
          <w:rFonts w:ascii="Garamond" w:hAnsi="Garamond"/>
        </w:rPr>
      </w:pP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w:t>
      </w:r>
      <w:r w:rsidR="00EC7808">
        <w:rPr>
          <w:rFonts w:ascii="Garamond" w:hAnsi="Garamond"/>
        </w:rPr>
        <w:t xml:space="preserve">montáž, </w:t>
      </w:r>
      <w:r w:rsidRPr="00112348">
        <w:rPr>
          <w:rFonts w:ascii="Garamond" w:hAnsi="Garamond"/>
        </w:rPr>
        <w:t xml:space="preserve">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C7808">
        <w:rPr>
          <w:rFonts w:ascii="Garamond" w:hAnsi="Garamond"/>
          <w:b/>
          <w:highlight w:val="yellow"/>
        </w:rPr>
        <w:t>22</w:t>
      </w:r>
      <w:r w:rsidR="0000127D">
        <w:rPr>
          <w:rFonts w:ascii="Garamond" w:hAnsi="Garamond"/>
          <w:b/>
          <w:highlight w:val="yellow"/>
        </w:rPr>
        <w:t>.</w:t>
      </w:r>
      <w:r w:rsidR="00D67AC2">
        <w:rPr>
          <w:rFonts w:ascii="Garamond" w:hAnsi="Garamond"/>
          <w:b/>
          <w:highlight w:val="yellow"/>
        </w:rPr>
        <w:t>0</w:t>
      </w:r>
      <w:r w:rsidR="00700366">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EC7808">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61E" w:rsidRDefault="0084461E" w:rsidP="001B2927">
      <w:pPr>
        <w:spacing w:after="0" w:line="240" w:lineRule="auto"/>
      </w:pPr>
      <w:r>
        <w:separator/>
      </w:r>
    </w:p>
  </w:endnote>
  <w:endnote w:type="continuationSeparator" w:id="0">
    <w:p w:rsidR="0084461E" w:rsidRDefault="0084461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61E" w:rsidRDefault="0084461E" w:rsidP="001B2927">
      <w:pPr>
        <w:spacing w:after="0" w:line="240" w:lineRule="auto"/>
      </w:pPr>
      <w:r>
        <w:separator/>
      </w:r>
    </w:p>
  </w:footnote>
  <w:footnote w:type="continuationSeparator" w:id="0">
    <w:p w:rsidR="0084461E" w:rsidRDefault="0084461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AB297A"/>
    <w:multiLevelType w:val="hybridMultilevel"/>
    <w:tmpl w:val="DA34A526"/>
    <w:lvl w:ilvl="0" w:tplc="1346E1F8">
      <w:numFmt w:val="bullet"/>
      <w:lvlText w:val=""/>
      <w:lvlJc w:val="left"/>
      <w:pPr>
        <w:ind w:left="648" w:hanging="432"/>
      </w:pPr>
      <w:rPr>
        <w:rFonts w:ascii="Symbol" w:eastAsia="Symbol" w:hAnsi="Symbol" w:cs="Symbol" w:hint="default"/>
        <w:w w:val="99"/>
        <w:sz w:val="22"/>
        <w:szCs w:val="22"/>
        <w:lang w:val="cs-CZ" w:eastAsia="en-US" w:bidi="ar-SA"/>
      </w:rPr>
    </w:lvl>
    <w:lvl w:ilvl="1" w:tplc="712E68D2">
      <w:numFmt w:val="bullet"/>
      <w:lvlText w:val="•"/>
      <w:lvlJc w:val="left"/>
      <w:pPr>
        <w:ind w:left="1526" w:hanging="432"/>
      </w:pPr>
      <w:rPr>
        <w:rFonts w:hint="default"/>
        <w:lang w:val="cs-CZ" w:eastAsia="en-US" w:bidi="ar-SA"/>
      </w:rPr>
    </w:lvl>
    <w:lvl w:ilvl="2" w:tplc="98FED106">
      <w:numFmt w:val="bullet"/>
      <w:lvlText w:val="•"/>
      <w:lvlJc w:val="left"/>
      <w:pPr>
        <w:ind w:left="2413" w:hanging="432"/>
      </w:pPr>
      <w:rPr>
        <w:rFonts w:hint="default"/>
        <w:lang w:val="cs-CZ" w:eastAsia="en-US" w:bidi="ar-SA"/>
      </w:rPr>
    </w:lvl>
    <w:lvl w:ilvl="3" w:tplc="64FA607A">
      <w:numFmt w:val="bullet"/>
      <w:lvlText w:val="•"/>
      <w:lvlJc w:val="left"/>
      <w:pPr>
        <w:ind w:left="3299" w:hanging="432"/>
      </w:pPr>
      <w:rPr>
        <w:rFonts w:hint="default"/>
        <w:lang w:val="cs-CZ" w:eastAsia="en-US" w:bidi="ar-SA"/>
      </w:rPr>
    </w:lvl>
    <w:lvl w:ilvl="4" w:tplc="B15EDA50">
      <w:numFmt w:val="bullet"/>
      <w:lvlText w:val="•"/>
      <w:lvlJc w:val="left"/>
      <w:pPr>
        <w:ind w:left="4186" w:hanging="432"/>
      </w:pPr>
      <w:rPr>
        <w:rFonts w:hint="default"/>
        <w:lang w:val="cs-CZ" w:eastAsia="en-US" w:bidi="ar-SA"/>
      </w:rPr>
    </w:lvl>
    <w:lvl w:ilvl="5" w:tplc="E25A2972">
      <w:numFmt w:val="bullet"/>
      <w:lvlText w:val="•"/>
      <w:lvlJc w:val="left"/>
      <w:pPr>
        <w:ind w:left="5073" w:hanging="432"/>
      </w:pPr>
      <w:rPr>
        <w:rFonts w:hint="default"/>
        <w:lang w:val="cs-CZ" w:eastAsia="en-US" w:bidi="ar-SA"/>
      </w:rPr>
    </w:lvl>
    <w:lvl w:ilvl="6" w:tplc="47F01F3E">
      <w:numFmt w:val="bullet"/>
      <w:lvlText w:val="•"/>
      <w:lvlJc w:val="left"/>
      <w:pPr>
        <w:ind w:left="5959" w:hanging="432"/>
      </w:pPr>
      <w:rPr>
        <w:rFonts w:hint="default"/>
        <w:lang w:val="cs-CZ" w:eastAsia="en-US" w:bidi="ar-SA"/>
      </w:rPr>
    </w:lvl>
    <w:lvl w:ilvl="7" w:tplc="F984F674">
      <w:numFmt w:val="bullet"/>
      <w:lvlText w:val="•"/>
      <w:lvlJc w:val="left"/>
      <w:pPr>
        <w:ind w:left="6846" w:hanging="432"/>
      </w:pPr>
      <w:rPr>
        <w:rFonts w:hint="default"/>
        <w:lang w:val="cs-CZ" w:eastAsia="en-US" w:bidi="ar-SA"/>
      </w:rPr>
    </w:lvl>
    <w:lvl w:ilvl="8" w:tplc="424A5B12">
      <w:numFmt w:val="bullet"/>
      <w:lvlText w:val="•"/>
      <w:lvlJc w:val="left"/>
      <w:pPr>
        <w:ind w:left="7733" w:hanging="432"/>
      </w:pPr>
      <w:rPr>
        <w:rFonts w:hint="default"/>
        <w:lang w:val="cs-CZ" w:eastAsia="en-US" w:bidi="ar-SA"/>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5B75"/>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739"/>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461E"/>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161"/>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C7808"/>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E56E"/>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1"/>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EDBXxQNWWnxq8DIBbfkjd/x/bqOWboJwOcjpz5EKWuw=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tTl6LdcUlO586fZQ+4f8jfhZYnFIJSIOATq53UkEMso=</DigestValue>
    </Reference>
  </SignedInfo>
  <SignatureValue>gpx88yCqFDEn5GThq4TvwzW9wd4LPylVj2Fpz9jlzrdwBCvsveoMoNw789iUj6FhGc2jYBS5Oz2M
NCgRK0H1jiJzUj+kDONVWXzyzQSD0sqSLN906Yd0JGP1/rZ7eMX20+QKSZ+p2BzTEeqMtVejZzdA
m1ZvgGcQMni1oY6QhHRusSlZouOaQgRq/GOGMqvbsecIV1FW2qasH5iUj/MFCxiUxnp0VROg8Z8S
2xgZ8VQLkQHVDPCA2FZVul7X0YSE1wjzpbZwoqdyK5kL9S87tWQfLoOdgmkEU2I38LRzRtXcNUxT
GfptNuibXh1+hvFSqBhP6v6G7E7iSTDYh3nqVA==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oMU2fz7WLTkVIGDF8V4oyBQa9JDcDIZDZX8cGuUNTmA=</DigestValue>
      </Reference>
      <Reference URI="/word/endnotes.xml?ContentType=application/vnd.openxmlformats-officedocument.wordprocessingml.endnotes+xml">
        <DigestMethod Algorithm="http://www.w3.org/2001/04/xmlenc#sha256"/>
        <DigestValue>yTVoUyrAH5KwvHVsl4ynPT6Yg7yAQGlreMJBeXTZ5+w=</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xNAL04FOmWDA//1/C5hWXBm1kcI3Y/m019Z3VQ8/XHU=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50G367NsHgsGiZrVL/AXRT/zfbccWp+WZMozxtAfo8Y=</DigestValue>
      </Reference>
      <Reference URI="/word/settings.xml?ContentType=application/vnd.openxmlformats-officedocument.wordprocessingml.settings+xml">
        <DigestMethod Algorithm="http://www.w3.org/2001/04/xmlenc#sha256"/>
        <DigestValue>1bC7NDpJco5g8qtEAZCDhQHUilDqB428u4EPa2prflw=</DigestValue>
      </Reference>
      <Reference URI="/word/styles.xml?ContentType=application/vnd.openxmlformats-officedocument.wordprocessingml.styles+xml">
        <DigestMethod Algorithm="http://www.w3.org/2001/04/xmlenc#sha256"/>
        <DigestValue>eaWrlIeeZGlyiPVngDeZ/jXq6iZoUnL1nSBhDFEXFeM=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2020-07-08T11:15:26Z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2020-07-08T11:15:26Z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3884F-D05C-427C-90D2-BABFF4811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2087</Words>
  <Characters>12317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2019-08-21T11:45:00Z</cp:lastPrinted>
  <dcterms:created xsi:type="dcterms:W3CDTF">2019-06-07T05:01:00Z</dcterms:created>
  <dcterms:modified xsi:type="dcterms:W3CDTF">2020-07-08T11:14:00Z</dcterms:modified>
</cp:coreProperties>
</file>