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w:t>
      </w:r>
      <w:r w:rsidR="00501CE8">
        <w:rPr>
          <w:rFonts w:ascii="Garamond" w:hAnsi="Garamond"/>
          <w:b/>
          <w:bCs/>
          <w:sz w:val="32"/>
          <w:szCs w:val="36"/>
        </w:rPr>
        <w:t>5</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E1C07">
        <w:rPr>
          <w:rFonts w:ascii="Garamond" w:hAnsi="Garamond"/>
          <w:b/>
          <w:bCs/>
        </w:rPr>
        <w:t>1</w:t>
      </w:r>
      <w:r w:rsidR="00501CE8">
        <w:rPr>
          <w:rFonts w:ascii="Garamond" w:hAnsi="Garamond"/>
          <w:b/>
          <w:bCs/>
        </w:rPr>
        <w:t>5</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97011">
        <w:rPr>
          <w:rFonts w:ascii="Garamond" w:hAnsi="Garamond"/>
          <w:b/>
          <w:highlight w:val="yellow"/>
        </w:rPr>
        <w:t>1</w:t>
      </w:r>
      <w:r w:rsidR="00501CE8">
        <w:rPr>
          <w:rFonts w:ascii="Garamond" w:hAnsi="Garamond"/>
          <w:b/>
          <w:highlight w:val="yellow"/>
        </w:rPr>
        <w:t>4</w:t>
      </w:r>
      <w:r w:rsidR="00A97011">
        <w:rPr>
          <w:rFonts w:ascii="Garamond" w:hAnsi="Garamond"/>
          <w:b/>
          <w:highlight w:val="yellow"/>
        </w:rPr>
        <w:t>.07</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A76CB">
        <w:rPr>
          <w:rFonts w:ascii="Garamond" w:hAnsi="Garamond"/>
          <w:b/>
          <w:highlight w:val="yellow"/>
        </w:rPr>
        <w:t>09</w:t>
      </w:r>
      <w:r w:rsidR="00FE0D49">
        <w:rPr>
          <w:rFonts w:ascii="Garamond" w:hAnsi="Garamond"/>
          <w:b/>
          <w:highlight w:val="yellow"/>
        </w:rPr>
        <w:t>:</w:t>
      </w:r>
      <w:r w:rsidR="00FE1C07">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1CE8"/>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97011"/>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3811FBBA"/>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50oI4/WmZd7n/it4e/fSGQtLg9Y=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7lul1EuUrTT6slMo2jWZl4PMmnk=</DigestValue>
    </Reference>
  </SignedInfo>
  <SignatureValue>Ftxkw0JVYy+fXACo8vIJW6m40HAjLE1FSm2CUtv6m2aCzaaEdd5PFxP41ePxeUJSuG1douRPiOQl
F+rywVeFLuhavLGPK8FdHD5EakDRu+YB2LqqWo5Hpgovt7D7jpXzYmG4jnl3xMpU7qq+Ypv3E2Y9
4aNcwLI6bXFxqR1PtJ1AF6OcXWixcJIzqSPJbrxxqh2CubU4Ty/rQppPPSl+OaM3EP0rKeDZOg8T
R16EYepfIXioF2DMxs4wVuj3WNOgvqc7Eflhea2d0NpVEne7fx9bBDwYXZ/3r7/CdbNkqhEOcOYb
LmTBvNzskY8M6n1Ne2Hna/ZLGtu05D+44l4cJg==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8BTTkH4Taq7yKN44BO9GRLqDzLw=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N/kmYLod7ic+nAous8QjUwLJKGU=</DigestValue>
      </Reference>
      <Reference URI="/word/styles.xml?ContentType=application/vnd.openxmlformats-officedocument.wordprocessingml.styles+xml">
        <DigestMethod Algorithm="http://www.w3.org/2000/09/xmldsig#sha1"/>
        <DigestValue>fDg5Vt8khe65DZHsD0+n8hyVpzs=</DigestValue>
      </Reference>
      <Reference URI="/word/numbering.xml?ContentType=application/vnd.openxmlformats-officedocument.wordprocessingml.numbering+xml">
        <DigestMethod Algorithm="http://www.w3.org/2000/09/xmldsig#sha1"/>
        <DigestValue>8bmkwEcR29KydaY6IWSH5les/QM=</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OwWgsS/ls8uNhWHE4D6FG/k2I4w=</DigestValue>
      </Reference>
      <Reference URI="/word/footer1.xml?ContentType=application/vnd.openxmlformats-officedocument.wordprocessingml.footer+xml">
        <DigestMethod Algorithm="http://www.w3.org/2000/09/xmldsig#sha1"/>
        <DigestValue>Tnv3SU9kURI3MCZiJXNldiHwPO0=</DigestValue>
      </Reference>
      <Reference URI="/word/document.xml?ContentType=application/vnd.openxmlformats-officedocument.wordprocessingml.document.main+xml">
        <DigestMethod Algorithm="http://www.w3.org/2000/09/xmldsig#sha1"/>
        <DigestValue>4EqkZgXlABnq1S2Pa4HRl17yiqY=</DigestValue>
      </Reference>
      <Reference URI="/word/webSettings.xml?ContentType=application/vnd.openxmlformats-officedocument.wordprocessingml.webSettings+xml">
        <DigestMethod Algorithm="http://www.w3.org/2000/09/xmldsig#sha1"/>
        <DigestValue>IYa+lWiHP3Qq83acKuyn8E0EA0s=</DigestValue>
      </Reference>
      <Reference URI="/word/endnotes.xml?ContentType=application/vnd.openxmlformats-officedocument.wordprocessingml.endnotes+xml">
        <DigestMethod Algorithm="http://www.w3.org/2000/09/xmldsig#sha1"/>
        <DigestValue>gjVns3fr7BPsrUUHuMcT75UcLic=</DigestValue>
      </Reference>
      <Reference URI="/word/header1.xml?ContentType=application/vnd.openxmlformats-officedocument.wordprocessingml.header+xml">
        <DigestMethod Algorithm="http://www.w3.org/2000/09/xmldsig#sha1"/>
        <DigestValue>1CEcc09nU/OQ3CWv9QZXQ+SCiH8=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hQCo8Qdwv72VbCGVDjGx+Exc46A=</DigestValue>
      </Reference>
    </Manifest>
    <SignatureProperties>
      <SignatureProperty Id="idSignatureTime" Target="#idPackageSignature">
        <mdssi:SignatureTime>
          <mdssi:Format>YYYY-MM-DDThh:mm:ssTZD</mdssi:Format>
          <mdssi:Value>2020-06-25T09:37:17Z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2020-06-25T09:37:17Z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C501A-3B37-40CD-BE58-256BE875A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30</cp:revision>
  <cp:lastPrinted>2018-10-09T06:29:00Z</cp:lastPrinted>
  <dcterms:created xsi:type="dcterms:W3CDTF">2019-05-21T07:09:00Z</dcterms:created>
  <dcterms:modified xsi:type="dcterms:W3CDTF">2020-06-24T12:37:00Z</dcterms:modified>
</cp:coreProperties>
</file>