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DD27D4">
        <w:rPr>
          <w:rFonts w:ascii="Garamond" w:hAnsi="Garamond"/>
          <w:b/>
          <w:bCs/>
          <w:sz w:val="32"/>
          <w:szCs w:val="32"/>
        </w:rPr>
        <w:t>3</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DD27D4">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DD27D4" w:rsidRPr="003C3C25">
          <w:rPr>
            <w:rStyle w:val="Hypertextovodkaz"/>
            <w:rFonts w:ascii="Garamond" w:hAnsi="Garamond"/>
            <w:szCs w:val="26"/>
          </w:rPr>
          <w:t xml:space="preserve">vitkov@ps.zcu.cz </w:t>
        </w:r>
      </w:hyperlink>
      <w:bookmarkStart w:id="2" w:name="_GoBack"/>
      <w:bookmarkEnd w:id="2"/>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DD27D4">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DD27D4">
        <w:rPr>
          <w:rFonts w:ascii="Garamond" w:hAnsi="Garamond"/>
          <w:b/>
        </w:rPr>
        <w:t>3</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lastRenderedPageBreak/>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717733" w:rsidRPr="0093338F" w:rsidRDefault="00717733" w:rsidP="00717733">
      <w:pPr>
        <w:ind w:left="425"/>
        <w:jc w:val="both"/>
        <w:rPr>
          <w:rFonts w:ascii="Calibri" w:eastAsia="Times New Roman" w:hAnsi="Calibri" w:cs="Times New Roman"/>
          <w:b/>
          <w:bCs/>
        </w:rPr>
      </w:pPr>
      <w:bookmarkStart w:id="29" w:name="_Toc377734762"/>
      <w:bookmarkStart w:id="30"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27D4">
        <w:rPr>
          <w:rFonts w:ascii="Garamond" w:hAnsi="Garamond"/>
          <w:b/>
          <w:highlight w:val="yellow"/>
        </w:rPr>
        <w:t>21</w:t>
      </w:r>
      <w:r w:rsidR="00FC334B">
        <w:rPr>
          <w:rFonts w:ascii="Garamond" w:hAnsi="Garamond"/>
          <w:b/>
          <w:highlight w:val="yellow"/>
        </w:rPr>
        <w:t>.02</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8114E3">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96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6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uQxsRQ7JOb0jqDwVlKvDPpxKj1g=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EyykbR9cVQXdlInU/A1r7Q6Luao=</DigestValue>
    </Reference>
  </SignedInfo>
  <SignatureValue>DZMY06Urzwh0Tos6leVuer6O9Fd209GsgnJ6O/xKusTQv5IdVfoaxgh1e8RWzZetKspWlEZW8Js8
xFNTKEuGc/WKArPPVTy/k16NO38/PrewKrFjQPlxtYMhdxXK90wHukdw6KIh3EqhfBZaMlKH+Yp1
h390sRXrgcehNzcMQ9bTYg8HJL4ZsQPEcBOB6C1fmc5c2fLG/+n3Dm6MF01af5+0doYmI9crxJfk
xQIUKjrRikj2qIHiVMkvwn6ru25FlsWpnl8hW7W8NK+3GGL3i5EkqQ9JcrvFVa/CDWw2SyEikjY5
xuGsLj8t2eHKbAD2kXtC4DDcMbEqL0He52sgMQ==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XXTHWs98a3RdJo4TFOsKfboT4bI=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FmVGn06JT9QJSLEokYruKUPFMiQ=</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2020-02-10T08:10:49Z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2020-02-10T08:10:49Z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810C-6FD6-4B2F-97A5-05BD841F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1770</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cp:lastPrinted>2014-08-25T12:38:00Z</cp:lastPrinted>
  <dcterms:created xsi:type="dcterms:W3CDTF">2019-10-02T06:39:00Z</dcterms:created>
  <dcterms:modified xsi:type="dcterms:W3CDTF">2020-02-10T08:10:00Z</dcterms:modified>
</cp:coreProperties>
</file>