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E862DE">
        <w:rPr>
          <w:rFonts w:ascii="Garamond" w:hAnsi="Garamond"/>
          <w:b/>
          <w:bCs/>
          <w:sz w:val="32"/>
          <w:szCs w:val="36"/>
        </w:rPr>
        <w:t>25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E862DE">
        <w:rPr>
          <w:rFonts w:ascii="Garamond" w:hAnsi="Garamond"/>
          <w:b/>
          <w:bCs/>
        </w:rPr>
        <w:t>25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83E80">
        <w:rPr>
          <w:rFonts w:ascii="Garamond" w:hAnsi="Garamond"/>
          <w:b/>
          <w:highlight w:val="yellow"/>
        </w:rPr>
        <w:t>21</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783E80">
        <w:rPr>
          <w:rFonts w:ascii="Garamond" w:hAnsi="Garamond"/>
          <w:b/>
          <w:highlight w:val="yellow"/>
        </w:rPr>
        <w:t>10</w:t>
      </w:r>
      <w:r w:rsidR="00CF5913">
        <w:rPr>
          <w:rFonts w:ascii="Garamond" w:hAnsi="Garamond"/>
          <w:b/>
          <w:highlight w:val="yellow"/>
        </w:rPr>
        <w:t>.</w:t>
      </w:r>
      <w:r w:rsidR="00783E80">
        <w:rPr>
          <w:rFonts w:ascii="Garamond" w:hAnsi="Garamond"/>
          <w:b/>
          <w:highlight w:val="yellow"/>
        </w:rPr>
        <w:t>3</w:t>
      </w:r>
      <w:r w:rsidR="00CF5913">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ZiqgZStSi5lbAS2Zi5hfagA/S7I=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XJrf4wb6OaQZxOZMg5zNXC6f/OQ=</DigestValue>
    </Reference>
  </SignedInfo>
  <SignatureValue>JwRmaDZFdqpirTVkxLQpiZZJvBnb170dpsh4lYEIhFLoZwwVwyPcO+Up95MMMfEjG491Yf6JRsWi
X+MjQ4jKu5ATF2i2NefxhYnmsnAznFWNM9JQrQDByrRQ5Yi7F0zqvjRm/h1697Mf7aDlxlWuI4Ef
gP4YpWocow601vjVQu0MpDK2itCWtQ1VXh1PLBsxKv3C8WxHtMtT+oxaL5r3SjdDdtQpwhB++m4k
h+LWzDSjhldgPT2GmC7jmaifLFIj7fO9Ofs8EM3e2CEIIE+S1gnYitqkorxyl6kZ0EeIRdKu2w2u
Izly1s15p5NalHSOSOLg18WZtr2TgIQ18kwLhw==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pdPpcWuNy63gUxwfyMPJ489NFzo=</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9VO73MT8k+T4RWxX0e7IFl5hSyQ=</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2019-11-08T09:24:58Z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2019-11-08T09:24:58Z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F0541-A56E-43FC-A88A-D9651217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32</cp:revision>
  <cp:lastPrinted>2019-08-21T11:45:00Z</cp:lastPrinted>
  <dcterms:created xsi:type="dcterms:W3CDTF">2019-06-07T05:01:00Z</dcterms:created>
  <dcterms:modified xsi:type="dcterms:W3CDTF">2019-11-08T09:24:00Z</dcterms:modified>
</cp:coreProperties>
</file>