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922425">
        <w:rPr>
          <w:rFonts w:ascii="Garamond" w:hAnsi="Garamond"/>
          <w:b/>
          <w:bCs/>
          <w:sz w:val="32"/>
          <w:szCs w:val="36"/>
        </w:rPr>
        <w:t>1</w:t>
      </w:r>
      <w:r w:rsidR="000836C7">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922425">
        <w:rPr>
          <w:rFonts w:ascii="Garamond" w:hAnsi="Garamond"/>
          <w:b/>
          <w:bCs/>
        </w:rPr>
        <w:t>1</w:t>
      </w:r>
      <w:r w:rsidR="000836C7">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836C7">
        <w:rPr>
          <w:rFonts w:ascii="Garamond" w:hAnsi="Garamond"/>
          <w:b/>
          <w:highlight w:val="yellow"/>
        </w:rPr>
        <w:t>18</w:t>
      </w:r>
      <w:bookmarkStart w:id="36" w:name="_GoBack"/>
      <w:bookmarkEnd w:id="36"/>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09.00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NECOPWddyJguiovUUu1cRMeiqYw=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tmOfBc4Fc+F8vfhYyyrOBXA0Ht8=</DigestValue>
    </Reference>
  </SignedInfo>
  <SignatureValue>cVe/IG5JeSIxOH00Xe3QVsWOpi+cIVdMkqx//xXFfPrDLBsHXiuwZBUym1MnSPRpGDUOgYv7cFzL
19mn0HFFwqXLDj3ABm18nzK+ekQZQb/+3/gOzTP7OovRAFQuCLYYHrckyN4JOrzRyBkjsXXEDlJO
It6SnUGdIKFWt9cTtgNyhBYQhJAiY9OHC5nP5W2xiJX+K39kjTiocjvWNFWM2BVeOd6wGU1FJTH9
CAbsQmF/B/D47DCnQFa7jsDl4XRx+XEa7TyW0xK3TMfrQUlBDch2nNuET7SYBOUt25iEzUvl/Z0s
tV1eD/zzTdAj/oq4jW1PORcfBa+/yCtD6elh5g==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SmewTIq+sTGSYKxx9gERrmWGcA0=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/DvwrPqDJqW7Zq9Zlfniz+/V2bo=</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2019-11-05T06:18:14Z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2019-11-05T06:18:14Z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C356F-9207-45C7-B268-F957F947B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31</cp:revision>
  <cp:lastPrinted>2019-08-21T11:45:00Z</cp:lastPrinted>
  <dcterms:created xsi:type="dcterms:W3CDTF">2019-06-07T05:01:00Z</dcterms:created>
  <dcterms:modified xsi:type="dcterms:W3CDTF">2019-11-05T06:18:00Z</dcterms:modified>
</cp:coreProperties>
</file>