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A2CF5">
        <w:rPr>
          <w:rFonts w:ascii="Garamond" w:hAnsi="Garamond"/>
          <w:b/>
          <w:sz w:val="32"/>
          <w:szCs w:val="36"/>
        </w:rPr>
        <w:t>61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A2CF5">
        <w:rPr>
          <w:rFonts w:ascii="Garamond" w:hAnsi="Garamond"/>
          <w:b/>
          <w:bCs/>
        </w:rPr>
        <w:t>61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A5D89" w:rsidRPr="002A2CF5" w:rsidRDefault="001275B1" w:rsidP="00FA5D89">
      <w:pPr>
        <w:spacing w:after="120"/>
        <w:ind w:left="431"/>
        <w:jc w:val="both"/>
        <w:rPr>
          <w:rFonts w:ascii="Garamond" w:eastAsia="MS Mincho" w:hAnsi="Garamond" w:cs="Arial"/>
          <w:i/>
          <w:iCs/>
          <w:sz w:val="18"/>
          <w:szCs w:val="18"/>
        </w:rPr>
      </w:pPr>
      <w:r w:rsidRPr="001275B1">
        <w:rPr>
          <w:rFonts w:ascii="Garamond" w:eastAsia="MS Mincho" w:hAnsi="Garamond" w:cs="Arial"/>
          <w:i/>
          <w:iCs/>
        </w:rPr>
        <w:t xml:space="preserve">Název projektu: </w:t>
      </w:r>
      <w:r>
        <w:rPr>
          <w:rFonts w:ascii="Garamond" w:eastAsia="MS Mincho" w:hAnsi="Garamond" w:cs="Arial"/>
          <w:i/>
          <w:iCs/>
        </w:rPr>
        <w:tab/>
      </w:r>
      <w:r w:rsidR="002A2CF5" w:rsidRPr="002A2CF5">
        <w:rPr>
          <w:rFonts w:ascii="Garamond" w:eastAsia="MS Mincho" w:hAnsi="Garamond" w:cs="Arial"/>
          <w:i/>
          <w:iCs/>
          <w:sz w:val="20"/>
          <w:szCs w:val="20"/>
        </w:rPr>
        <w:t>TE01020022</w:t>
      </w:r>
      <w:r w:rsidR="002A2CF5" w:rsidRPr="002A2CF5">
        <w:rPr>
          <w:rFonts w:ascii="Garamond" w:eastAsia="MS Mincho" w:hAnsi="Garamond" w:cs="Arial"/>
          <w:i/>
          <w:iCs/>
        </w:rPr>
        <w:t xml:space="preserve"> - </w:t>
      </w:r>
      <w:r w:rsidR="002A2CF5" w:rsidRPr="002A2CF5">
        <w:rPr>
          <w:rFonts w:ascii="Garamond" w:eastAsia="MS Mincho" w:hAnsi="Garamond" w:cs="Arial"/>
          <w:i/>
          <w:iCs/>
          <w:sz w:val="18"/>
          <w:szCs w:val="18"/>
        </w:rPr>
        <w:t>FLEXIBILNÍ TIŠTĚNÁ MIKROELEKTRONIKA S VYUŽITÍM ORGANICKÝCH A HYBRIDNÍCH MATERIÁLŮ, FLEXPRINT</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A5D89">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 xml:space="preserve">Technické podmínky, které jsou uvedeny v Příloze č. 1 této Výzvy, jsou uvedeny jako minimální, které musí Zboží splňovat. V případě, že dodavatel nabídne Zboží, které nebude odpovídat </w:t>
      </w:r>
      <w:r w:rsidRPr="0034070D">
        <w:rPr>
          <w:rFonts w:ascii="Garamond" w:hAnsi="Garamond"/>
        </w:rPr>
        <w:lastRenderedPageBreak/>
        <w:t>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A2CF5">
        <w:rPr>
          <w:rFonts w:ascii="Garamond" w:hAnsi="Garamond"/>
          <w:b/>
        </w:rPr>
        <w:t>01</w:t>
      </w:r>
      <w:r w:rsidR="00D73EFB">
        <w:rPr>
          <w:rFonts w:ascii="Garamond" w:hAnsi="Garamond"/>
          <w:b/>
        </w:rPr>
        <w:t>.</w:t>
      </w:r>
      <w:r w:rsidR="002A2CF5">
        <w:rPr>
          <w:rFonts w:ascii="Garamond" w:hAnsi="Garamond"/>
          <w:b/>
        </w:rPr>
        <w:t>11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2A2CF5">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lastRenderedPageBreak/>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lastRenderedPageBreak/>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2CF5"/>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JFTDNNMEcLZU0MgogbDLAiNWHEA=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AZj8rwiBF/fNmVIHK9TidwLwA1U=</DigestValue>
    </Reference>
  </SignedInfo>
  <SignatureValue>jv7qi0RK1tj5QsfoKgtC6aySPhTeEtRezoTpPBtI+Z+7eDH4wCVfFydhAmjtwMS3JJD9Fv+s06+n
RakTWiMM/8IcLZ7bG+J2+wZ1ntiZHunqpJFSO+bz8CckMfWL2RfRerP49XgcmxGg3dC2+ZMPe8qm
dG5UJAzOx0fQFCOardtgiRkHXQP2n5iupMUuKGjCoFiuQPqo9PqlWctrz9TCPJ8ndWkCK4EQ1DZV
NV9MxbYA0rkAm+A+Ev9qmiYuAw2YF46Rkrf6bQBF/jHMN+NGxNkqvMkPuo0jp00dQgaBC971Yn7e
9Whnz2F4CcSwr45PGiByY8nUYUwcsdIEumQ0sg==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vHtrsUmXmELXALR+DScFPN0l3fk=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KwMt53lYHiud8EYKIBF4Jzc9IDg=</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2019-10-17T10:21:28Z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2019-10-17T10:21:28Z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3F2AD-7219-4336-9903-3114180D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7</Pages>
  <Words>1992</Words>
  <Characters>11757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128</cp:revision>
  <cp:lastPrinted>2019-04-12T12:52:00Z</cp:lastPrinted>
  <dcterms:created xsi:type="dcterms:W3CDTF">2016-09-23T14:05:00Z</dcterms:created>
  <dcterms:modified xsi:type="dcterms:W3CDTF">2019-10-17T10:21:00Z</dcterms:modified>
</cp:coreProperties>
</file>