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FA0AAB">
        <w:rPr>
          <w:rFonts w:ascii="Garamond" w:hAnsi="Garamond"/>
          <w:b/>
          <w:sz w:val="32"/>
          <w:szCs w:val="36"/>
        </w:rPr>
        <w:t>9</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FA0AAB">
        <w:rPr>
          <w:rFonts w:ascii="Garamond" w:hAnsi="Garamond"/>
          <w:b/>
          <w:bCs/>
        </w:rPr>
        <w:t>9</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0AAB">
      <w:pPr>
        <w:pStyle w:val="Nadpis2"/>
        <w:ind w:left="426"/>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FA0AAB">
        <w:rPr>
          <w:rFonts w:ascii="Garamond" w:hAnsi="Garamond"/>
          <w:b/>
        </w:rPr>
        <w:t xml:space="preserve">30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 xml:space="preserve">abídková </w:t>
      </w:r>
      <w:r w:rsidRPr="00112348">
        <w:rPr>
          <w:rFonts w:ascii="Garamond" w:hAnsi="Garamond"/>
        </w:rPr>
        <w:lastRenderedPageBreak/>
        <w:t>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76B66">
        <w:rPr>
          <w:rFonts w:ascii="Garamond" w:hAnsi="Garamond"/>
          <w:b/>
        </w:rPr>
        <w:t>1</w:t>
      </w:r>
      <w:r w:rsidR="00FA0AAB">
        <w:rPr>
          <w:rFonts w:ascii="Garamond" w:hAnsi="Garamond"/>
          <w:b/>
        </w:rPr>
        <w:t>5</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275B1">
        <w:rPr>
          <w:rFonts w:ascii="Garamond" w:hAnsi="Garamond"/>
          <w:b/>
        </w:rPr>
        <w:t>1</w:t>
      </w:r>
      <w:r w:rsidR="00FA0AAB">
        <w:rPr>
          <w:rFonts w:ascii="Garamond" w:hAnsi="Garamond"/>
          <w:b/>
        </w:rPr>
        <w:t>1</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lastRenderedPageBreak/>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26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0AAB"/>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pbi+FmDM6c6YUu0mRlfNl1sEUfs=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VmHNePYXaNnOheqy6juGJqNplGw=</DigestValue>
    </Reference>
  </SignedInfo>
  <SignatureValue>eklzIIn3zlqYgRQNjicCd1bpl6rM00rNO4UT5XlH2YWImZJx+4ArTI7rPQozAW+ALbnrRjqyB8cJ
kt7E2pzgDpG5TApmcJxovBFJxKfcwuMkCeJxpb72CUfU/dRgAeQARYuojBJz2SVYznZpOEn5exTc
v8+bGdgAmdFcUzx1JD0qhZA9ICSraaJOZSVZ1bty44/MaBlHReRqAvJEQr5UWgQ2Wg8uy4AbLQgG
fLQIN7UfS4QVVUmW4SrH55eUKn2X7O3lBB8y3z9t+aoqBkn1VJeCNolzdKRMUymK6lxhuHovhBW4
19Qqt6AJGOM/LvpaicJXEyLDRpDwRZZuvVmCoQ==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settings.xml?ContentType=application/vnd.openxmlformats-officedocument.wordprocessingml.settings+xml">
        <DigestMethod Algorithm="http://www.w3.org/2000/09/xmldsig#sha1"/>
        <DigestValue>sROKCjTE+zyOGwjcFhA/a40ybIs=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Hwd2nUhXuivKq1YBbLNMTgHn1GE=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2019-10-03T12:46:25Z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2019-10-03T12:46:25Z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FC068-25A4-4B67-975B-77CF7B20B2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1976</TotalTime>
  <Pages>6</Pages>
  <Words>1974</Words>
  <Characters>11652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127</cp:revision>
  <cp:lastPrinted>2019-04-12T12:52:00Z</cp:lastPrinted>
  <dcterms:created xsi:type="dcterms:W3CDTF">2016-09-23T14:05:00Z</dcterms:created>
  <dcterms:modified xsi:type="dcterms:W3CDTF">2019-10-03T12:46:00Z</dcterms:modified>
</cp:coreProperties>
</file>