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9226DB">
        <w:rPr>
          <w:rFonts w:ascii="Garamond" w:hAnsi="Garamond"/>
          <w:b/>
          <w:sz w:val="32"/>
          <w:szCs w:val="36"/>
        </w:rPr>
        <w:t>22</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9226DB">
        <w:rPr>
          <w:rFonts w:ascii="Garamond" w:hAnsi="Garamond"/>
          <w:b/>
          <w:bCs/>
        </w:rPr>
        <w:t>22</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9226DB">
        <w:rPr>
          <w:rFonts w:ascii="Garamond" w:hAnsi="Garamond"/>
          <w:b/>
        </w:rPr>
        <w:t xml:space="preserve"> </w:t>
      </w:r>
      <w:r w:rsidR="00727E8E" w:rsidRPr="00112348">
        <w:rPr>
          <w:rFonts w:ascii="Garamond" w:hAnsi="Garamond"/>
        </w:rPr>
        <w:t>návrhu Kupní sm</w:t>
      </w:r>
      <w:r w:rsidR="003D30BD">
        <w:rPr>
          <w:rFonts w:ascii="Garamond" w:hAnsi="Garamond"/>
        </w:rPr>
        <w:t>louvy, který tvoří Přílohu č. 1</w:t>
      </w:r>
      <w:r w:rsidR="00B21F33">
        <w:rPr>
          <w:rFonts w:ascii="Garamond" w:hAnsi="Garamond"/>
        </w:rPr>
        <w:t xml:space="preserve"> </w:t>
      </w:r>
      <w:r w:rsidR="00727E8E" w:rsidRPr="00112348">
        <w:rPr>
          <w:rFonts w:ascii="Garamond" w:hAnsi="Garamond"/>
        </w:rPr>
        <w:t>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9226DB" w:rsidRDefault="0002092E" w:rsidP="0002092E">
      <w:pPr>
        <w:spacing w:after="0"/>
        <w:ind w:left="431"/>
        <w:jc w:val="both"/>
        <w:rPr>
          <w:rFonts w:ascii="Garamond" w:hAnsi="Garamond"/>
          <w:i/>
        </w:rPr>
      </w:pPr>
      <w:r w:rsidRPr="0002092E">
        <w:rPr>
          <w:rFonts w:ascii="Garamond" w:hAnsi="Garamond"/>
          <w:i/>
        </w:rPr>
        <w:t xml:space="preserve">Název projektu: </w:t>
      </w:r>
      <w:r>
        <w:rPr>
          <w:rFonts w:ascii="Garamond" w:hAnsi="Garamond"/>
          <w:i/>
        </w:rPr>
        <w:tab/>
      </w:r>
      <w:r w:rsidR="009226DB" w:rsidRPr="009226DB">
        <w:rPr>
          <w:rFonts w:ascii="Garamond" w:hAnsi="Garamond"/>
          <w:i/>
        </w:rPr>
        <w:t>CENTEM+</w:t>
      </w:r>
    </w:p>
    <w:p w:rsidR="00824CB7" w:rsidRPr="0002092E" w:rsidRDefault="0002092E" w:rsidP="0002092E">
      <w:pPr>
        <w:spacing w:after="0"/>
        <w:ind w:left="431"/>
        <w:jc w:val="both"/>
        <w:rPr>
          <w:rFonts w:ascii="Garamond" w:hAnsi="Garamond"/>
          <w:i/>
        </w:rPr>
      </w:pPr>
      <w:r w:rsidRPr="0002092E">
        <w:rPr>
          <w:rFonts w:ascii="Garamond" w:hAnsi="Garamond"/>
          <w:i/>
        </w:rPr>
        <w:t xml:space="preserve">Číslo projektu: </w:t>
      </w:r>
      <w:r>
        <w:rPr>
          <w:rFonts w:ascii="Garamond" w:hAnsi="Garamond"/>
          <w:i/>
        </w:rPr>
        <w:tab/>
      </w:r>
      <w:r w:rsidR="009226DB" w:rsidRPr="009226DB">
        <w:rPr>
          <w:rFonts w:ascii="Garamond" w:hAnsi="Garamond"/>
          <w:i/>
        </w:rPr>
        <w:t>LO1402</w:t>
      </w:r>
    </w:p>
    <w:p w:rsidR="00B21F33" w:rsidRDefault="005D6342" w:rsidP="00B21F33">
      <w:pPr>
        <w:pStyle w:val="Nadpis2"/>
        <w:spacing w:before="240"/>
        <w:ind w:left="425" w:hanging="426"/>
        <w:jc w:val="both"/>
        <w:rPr>
          <w:rFonts w:ascii="Garamond" w:hAnsi="Garamond"/>
          <w:sz w:val="22"/>
          <w:szCs w:val="22"/>
        </w:rPr>
      </w:pPr>
      <w:bookmarkStart w:id="6" w:name="_Toc377734751"/>
      <w:bookmarkStart w:id="7" w:name="_Toc378837890"/>
      <w:r w:rsidRPr="003D30BD">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9226DB" w:rsidRPr="009226DB" w:rsidRDefault="005D6342" w:rsidP="009226DB">
      <w:pPr>
        <w:spacing w:after="0"/>
        <w:ind w:left="431"/>
        <w:jc w:val="both"/>
        <w:rPr>
          <w:rFonts w:ascii="Garamond" w:hAnsi="Garamond"/>
          <w:i/>
        </w:rPr>
      </w:pPr>
      <w:r w:rsidRPr="009226DB">
        <w:rPr>
          <w:rFonts w:ascii="Garamond" w:hAnsi="Garamond"/>
          <w:i/>
        </w:rPr>
        <w:t>CPV:</w:t>
      </w:r>
      <w:r w:rsidR="005E5076" w:rsidRPr="009226DB">
        <w:rPr>
          <w:rFonts w:ascii="Garamond" w:hAnsi="Garamond"/>
          <w:i/>
        </w:rPr>
        <w:tab/>
      </w:r>
      <w:bookmarkStart w:id="8" w:name="_Toc377734752"/>
      <w:bookmarkStart w:id="9" w:name="_Toc378837891"/>
      <w:r w:rsidR="009226DB">
        <w:rPr>
          <w:rFonts w:ascii="Garamond" w:hAnsi="Garamond" w:cs="Calibri"/>
        </w:rPr>
        <w:t xml:space="preserve">viz </w:t>
      </w:r>
      <w:r w:rsidR="009226DB" w:rsidRPr="001C03C3">
        <w:rPr>
          <w:rFonts w:ascii="Garamond" w:hAnsi="Garamond" w:cs="Calibri"/>
          <w:u w:val="single"/>
        </w:rPr>
        <w:t>Příloha č. 1 návrhu Kupní smlouvy</w:t>
      </w:r>
    </w:p>
    <w:p w:rsidR="00824CB7" w:rsidRDefault="00824CB7" w:rsidP="00824CB7">
      <w:pPr>
        <w:spacing w:after="0"/>
        <w:ind w:firstLine="432"/>
        <w:jc w:val="both"/>
        <w:rPr>
          <w:rFonts w:ascii="Garamond" w:hAnsi="Garamond" w:cs="Calibri"/>
        </w:rPr>
      </w:pPr>
    </w:p>
    <w:p w:rsidR="005D6342" w:rsidRPr="009226DB" w:rsidRDefault="005D6342" w:rsidP="00824CB7">
      <w:pPr>
        <w:spacing w:after="0"/>
        <w:ind w:firstLine="432"/>
        <w:jc w:val="both"/>
        <w:rPr>
          <w:rFonts w:ascii="Garamond" w:hAnsi="Garamond"/>
          <w:b/>
        </w:rPr>
      </w:pPr>
      <w:r w:rsidRPr="009226DB">
        <w:rPr>
          <w:rFonts w:ascii="Garamond" w:hAnsi="Garamond"/>
          <w:b/>
        </w:rPr>
        <w:t>PŘEDPOKLÁDANÁ HODNOTA VEŘEJNÉ ZAKÁZKY</w:t>
      </w:r>
      <w:bookmarkEnd w:id="8"/>
      <w:bookmarkEnd w:id="9"/>
    </w:p>
    <w:p w:rsidR="009226DB" w:rsidRPr="0092236C" w:rsidRDefault="009226DB" w:rsidP="00824CB7">
      <w:pPr>
        <w:spacing w:after="0"/>
        <w:ind w:firstLine="432"/>
        <w:jc w:val="both"/>
        <w:rPr>
          <w:rFonts w:ascii="Garamond" w:hAnsi="Garamond"/>
        </w:rPr>
      </w:pPr>
    </w:p>
    <w:p w:rsidR="009226DB" w:rsidRPr="00112348" w:rsidRDefault="009226DB" w:rsidP="009226DB">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9226DB">
        <w:rPr>
          <w:rFonts w:ascii="Garamond" w:hAnsi="Garamond"/>
          <w:b/>
        </w:rPr>
        <w:t xml:space="preserve">30 dnů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D615E2" w:rsidP="00D615E2">
      <w:pPr>
        <w:spacing w:after="0"/>
        <w:ind w:left="432"/>
        <w:jc w:val="both"/>
        <w:rPr>
          <w:rFonts w:ascii="Garamond" w:hAnsi="Garamond"/>
        </w:rPr>
      </w:pPr>
      <w:r w:rsidRPr="00865652">
        <w:rPr>
          <w:rFonts w:ascii="Garamond" w:hAnsi="Garamond"/>
        </w:rPr>
        <w:t>Nedílnou souč</w:t>
      </w:r>
      <w:r w:rsidR="009226DB">
        <w:rPr>
          <w:rFonts w:ascii="Garamond" w:hAnsi="Garamond"/>
        </w:rPr>
        <w:t>ástí návrhu Kupní smlouvy jsou její Příloha (y)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w:t>
      </w:r>
      <w:r w:rsidRPr="00112348">
        <w:rPr>
          <w:rFonts w:ascii="Garamond" w:hAnsi="Garamond"/>
        </w:rPr>
        <w:lastRenderedPageBreak/>
        <w:t>cena bude rovněž uvedena v návrhu Kupní smlouvy</w:t>
      </w:r>
      <w:r w:rsidR="00DA0AC3">
        <w:rPr>
          <w:rFonts w:ascii="Garamond" w:hAnsi="Garamond"/>
        </w:rPr>
        <w:t xml:space="preserve">. </w:t>
      </w:r>
      <w:r w:rsidR="00DA0AC3" w:rsidRPr="00112348">
        <w:rPr>
          <w:rFonts w:ascii="Garamond" w:hAnsi="Garamond"/>
        </w:rPr>
        <w:t>Nabídková cena bude uvedena v čes</w:t>
      </w:r>
      <w:r w:rsidR="001760BD">
        <w:rPr>
          <w:rFonts w:ascii="Garamond" w:hAnsi="Garamond"/>
        </w:rPr>
        <w:t>ké měně v ceně bez DPH.</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B21F33">
        <w:rPr>
          <w:rFonts w:ascii="Garamond" w:hAnsi="Garamond"/>
          <w:b/>
        </w:rPr>
        <w:t>31</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44437D">
        <w:rPr>
          <w:rFonts w:ascii="Garamond" w:hAnsi="Garamond"/>
          <w:b/>
        </w:rPr>
        <w:t>5</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4E1E85">
        <w:rPr>
          <w:rFonts w:ascii="Garamond" w:hAnsi="Garamond"/>
          <w:b/>
        </w:rPr>
        <w:t>1</w:t>
      </w:r>
      <w:r w:rsidR="009226DB">
        <w:rPr>
          <w:rFonts w:ascii="Garamond" w:hAnsi="Garamond"/>
          <w:b/>
        </w:rPr>
        <w:t>2</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D32320" w:rsidRDefault="005D6342" w:rsidP="003D30BD">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3D30BD" w:rsidRPr="00112348" w:rsidRDefault="003D30BD" w:rsidP="003D30BD">
      <w:pPr>
        <w:spacing w:after="0"/>
        <w:ind w:left="432"/>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lastRenderedPageBreak/>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 xml:space="preserve">ávrh Kupní smlouvy a její </w:t>
      </w:r>
      <w:r w:rsidR="009226DB">
        <w:rPr>
          <w:rFonts w:ascii="Garamond" w:hAnsi="Garamond"/>
        </w:rPr>
        <w:t>Příloha (y)</w:t>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0BD"/>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0BD"/>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1E85"/>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26DB"/>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1F33"/>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64889708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0B9bvm3jIqpdeNtnMJqk6WIBXc8=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A0s8ur+61g5Pm0V+0PCP9zYWais=</DigestValue>
    </Reference>
  </SignedInfo>
  <SignatureValue>hKtZyoXdLoyOfCIcwoGgMmJXeANN+JN7fOIRuLBiQHuaFXsxWGeWvIdsb8GlU26vkD2VmQcJ3Z18
FwANUsqDLmulsaPgPbSjGpWVvSjkhosUg8CQ/n11EGr3xzwDt1icxgROIUC+S4pTRdAJ8VM4d3TS
Ggj5E2AI5WA1oBnTTpddIlVIkAsLcM1Cu7jHHsHHMV5WpZBcUTuiRlBcm6gHaprFuOva7o2Gzzrj
2jCGHe17q3g9Sy8bOQrHfNZ1fENhYsskCW9qCTF3pEz88A1V5MTAAoMkv1EXtpX0US7ef7369Un3
9boFmLdhqsW1JmZCjU1auiCc2azluxPT/mxaSQ==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fU21OduTS275VGf7odf7sk0Lz0A=</DigestValue>
      </Reference>
      <Reference URI="/word/settings.xml?ContentType=application/vnd.openxmlformats-officedocument.wordprocessingml.settings+xml">
        <DigestMethod Algorithm="http://www.w3.org/2000/09/xmldsig#sha1"/>
        <DigestValue>0S+AgMxfiS1RRwpzUm5Fu2O/JoE=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bl7bz9CkvJtjUDrr05RjOOX06WQ=</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gzHl9Mw0EmAF1QqwB8Dj2d0g6CM=</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2019-05-15T12:06:21Z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2019-05-15T12:06:21Z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A639C-993D-4898-8C67-D344382E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1958</TotalTime>
  <Pages>6</Pages>
  <Words>1979</Words>
  <Characters>11680</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120</cp:revision>
  <cp:lastPrinted>2019-04-12T12:52:00Z</cp:lastPrinted>
  <dcterms:created xsi:type="dcterms:W3CDTF">2016-09-23T14:05:00Z</dcterms:created>
  <dcterms:modified xsi:type="dcterms:W3CDTF">2019-05-15T12:06:00Z</dcterms:modified>
</cp:coreProperties>
</file>