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41" w:rsidRDefault="00A60C41">
      <w:pPr>
        <w:pStyle w:val="Default"/>
      </w:pPr>
    </w:p>
    <w:p w:rsidR="00A60C41" w:rsidRDefault="00710E18">
      <w:pPr>
        <w:pStyle w:val="Default"/>
        <w:ind w:left="708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Ro</w:t>
      </w:r>
      <w:r>
        <w:rPr>
          <w:b/>
          <w:bCs/>
          <w:sz w:val="32"/>
          <w:szCs w:val="32"/>
        </w:rPr>
        <w:t>zšíření stávajícího výpočetního HPC klastru pro výpočty z prvních principů pro potřeby projektu EVT</w:t>
      </w:r>
    </w:p>
    <w:p w:rsidR="00A60C41" w:rsidRDefault="00A60C41">
      <w:pPr>
        <w:pStyle w:val="Default"/>
        <w:jc w:val="center"/>
        <w:rPr>
          <w:sz w:val="23"/>
          <w:szCs w:val="23"/>
        </w:rPr>
      </w:pPr>
    </w:p>
    <w:p w:rsidR="00A60C41" w:rsidRDefault="00710E18">
      <w:pPr>
        <w:pStyle w:val="Default"/>
        <w:ind w:left="1416" w:firstLine="708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Rozšíření výpočetních uzlů žiletkového typu </w:t>
      </w:r>
    </w:p>
    <w:p w:rsidR="00A60C41" w:rsidRDefault="00A60C41">
      <w:pPr>
        <w:pStyle w:val="Default"/>
        <w:ind w:left="1416" w:firstLine="708"/>
        <w:rPr>
          <w:sz w:val="23"/>
          <w:szCs w:val="23"/>
        </w:rPr>
      </w:pPr>
    </w:p>
    <w:p w:rsidR="00A60C41" w:rsidRDefault="00710E18">
      <w:pPr>
        <w:pStyle w:val="Default"/>
        <w:ind w:left="2124" w:firstLine="708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Technická specifikace dodávky </w:t>
      </w:r>
    </w:p>
    <w:p w:rsidR="00A60C41" w:rsidRDefault="00A60C41">
      <w:pPr>
        <w:pStyle w:val="Default"/>
        <w:ind w:left="2124" w:firstLine="708"/>
        <w:rPr>
          <w:sz w:val="23"/>
          <w:szCs w:val="23"/>
        </w:rPr>
      </w:pP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Klasifikace dodávky dle CPV kódů: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48822000-6 Počítačové servery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30233141-1 Vícenásobné diskové pole nezávislých disků (RAID) </w:t>
      </w:r>
    </w:p>
    <w:p w:rsidR="00A60C41" w:rsidRDefault="00A60C41">
      <w:pPr>
        <w:pStyle w:val="Default"/>
        <w:rPr>
          <w:sz w:val="20"/>
          <w:szCs w:val="20"/>
        </w:rPr>
      </w:pPr>
    </w:p>
    <w:p w:rsidR="00A60C41" w:rsidRDefault="00710E1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V srpnu 2017 bylo prostřednictvím výběrového řízení dodána výpočetní zařízení různých typů pro podporu náročných simulací. Jedním z typů byla sestava výpočetních jednoprocesorových uzlů s vyšší</w:t>
      </w:r>
      <w:r>
        <w:rPr>
          <w:sz w:val="20"/>
          <w:szCs w:val="20"/>
        </w:rPr>
        <w:t xml:space="preserve"> frekvencí výpočetních jader a s menší velikostí operační paměti na uzlu. Z důvodu zachování vysoké hustoty instalovaných procesorů na obsazený prostor v racku a efektivity napájení uzlů je voleno tzv. žiletkové řešení, kde je v jednom specializovaném </w:t>
      </w:r>
      <w:proofErr w:type="spellStart"/>
      <w:r>
        <w:rPr>
          <w:sz w:val="20"/>
          <w:szCs w:val="20"/>
        </w:rPr>
        <w:t>šasí</w:t>
      </w:r>
      <w:proofErr w:type="spellEnd"/>
      <w:r>
        <w:rPr>
          <w:sz w:val="20"/>
          <w:szCs w:val="20"/>
        </w:rPr>
        <w:t xml:space="preserve"> formou hot-swap šuplíků (žiletek) umístěno více nezávislých uzlů současně. </w:t>
      </w:r>
    </w:p>
    <w:p w:rsidR="00A60C41" w:rsidRDefault="00A60C41">
      <w:pPr>
        <w:pStyle w:val="Default"/>
        <w:jc w:val="both"/>
        <w:rPr>
          <w:sz w:val="20"/>
          <w:szCs w:val="20"/>
        </w:rPr>
      </w:pPr>
    </w:p>
    <w:p w:rsidR="00A60C41" w:rsidRDefault="00710E1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Aktuálně je předmětem dodávky rozšíření již instalované sestavy tří </w:t>
      </w:r>
      <w:proofErr w:type="spellStart"/>
      <w:r>
        <w:rPr>
          <w:sz w:val="20"/>
          <w:szCs w:val="20"/>
        </w:rPr>
        <w:t>šasí</w:t>
      </w:r>
      <w:proofErr w:type="spellEnd"/>
      <w:r>
        <w:rPr>
          <w:sz w:val="20"/>
          <w:szCs w:val="20"/>
        </w:rPr>
        <w:t xml:space="preserve"> s žiletkami o jeden kus identického </w:t>
      </w:r>
      <w:proofErr w:type="spellStart"/>
      <w:r>
        <w:rPr>
          <w:sz w:val="20"/>
          <w:szCs w:val="20"/>
        </w:rPr>
        <w:t>šasí</w:t>
      </w:r>
      <w:proofErr w:type="spellEnd"/>
      <w:r>
        <w:rPr>
          <w:sz w:val="20"/>
          <w:szCs w:val="20"/>
        </w:rPr>
        <w:t xml:space="preserve"> s </w:t>
      </w:r>
      <w:proofErr w:type="spellStart"/>
      <w:r>
        <w:rPr>
          <w:sz w:val="20"/>
          <w:szCs w:val="20"/>
        </w:rPr>
        <w:t>indentickými</w:t>
      </w:r>
      <w:proofErr w:type="spellEnd"/>
      <w:r>
        <w:rPr>
          <w:sz w:val="20"/>
          <w:szCs w:val="20"/>
        </w:rPr>
        <w:t xml:space="preserve"> žiletkovými uzly. Požadavek na dodávku identickýc</w:t>
      </w:r>
      <w:r>
        <w:rPr>
          <w:sz w:val="20"/>
          <w:szCs w:val="20"/>
        </w:rPr>
        <w:t xml:space="preserve">h uzlů se stejnými klíčovými komponenty uzlů je dán nutností zachování homogenního výkonu a možností jednotné automatizované konfigurace a správy rozšířeného klastru. Popis technické specifikace je uveden níže </w:t>
      </w:r>
      <w:r>
        <w:rPr>
          <w:b/>
          <w:bCs/>
          <w:sz w:val="20"/>
          <w:szCs w:val="20"/>
        </w:rPr>
        <w:t>v bodě 1</w:t>
      </w:r>
      <w:r>
        <w:rPr>
          <w:sz w:val="20"/>
          <w:szCs w:val="20"/>
        </w:rPr>
        <w:t xml:space="preserve">. </w:t>
      </w:r>
    </w:p>
    <w:p w:rsidR="00A60C41" w:rsidRDefault="00A60C41">
      <w:pPr>
        <w:pStyle w:val="Default"/>
        <w:jc w:val="both"/>
        <w:rPr>
          <w:sz w:val="20"/>
          <w:szCs w:val="20"/>
        </w:rPr>
      </w:pPr>
    </w:p>
    <w:p w:rsidR="00A60C41" w:rsidRDefault="00710E18">
      <w:pPr>
        <w:pStyle w:val="Default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Dalším prvkem dodávky rozšíření di</w:t>
      </w:r>
      <w:r>
        <w:rPr>
          <w:sz w:val="20"/>
          <w:szCs w:val="20"/>
        </w:rPr>
        <w:t xml:space="preserve">skové kapacity klastru formou dodávky nového samostatného diskového pole, které bude připojeno k již provozovanému řídícímu uzlu výpočetního klastru. Popis technické specifikace je uveden níže </w:t>
      </w:r>
      <w:r>
        <w:rPr>
          <w:b/>
          <w:bCs/>
          <w:sz w:val="20"/>
          <w:szCs w:val="20"/>
        </w:rPr>
        <w:t xml:space="preserve">v bodě 2. </w:t>
      </w:r>
    </w:p>
    <w:p w:rsidR="00A60C41" w:rsidRDefault="00A60C41">
      <w:pPr>
        <w:pStyle w:val="Default"/>
        <w:rPr>
          <w:sz w:val="20"/>
          <w:szCs w:val="20"/>
        </w:rPr>
      </w:pP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Bod 1. Technická specifikace </w:t>
      </w:r>
      <w:r w:rsidRPr="00710E18">
        <w:rPr>
          <w:b/>
          <w:bCs/>
          <w:color w:val="auto"/>
          <w:sz w:val="20"/>
          <w:szCs w:val="20"/>
        </w:rPr>
        <w:t>stávajícího</w:t>
      </w:r>
      <w:r w:rsidRPr="00710E18">
        <w:rPr>
          <w:b/>
          <w:bCs/>
          <w:color w:val="auto"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šasí</w:t>
      </w:r>
      <w:proofErr w:type="spellEnd"/>
      <w:r>
        <w:rPr>
          <w:b/>
          <w:bCs/>
          <w:sz w:val="20"/>
          <w:szCs w:val="20"/>
        </w:rPr>
        <w:t xml:space="preserve"> s žil</w:t>
      </w:r>
      <w:r>
        <w:rPr>
          <w:b/>
          <w:bCs/>
          <w:sz w:val="20"/>
          <w:szCs w:val="20"/>
        </w:rPr>
        <w:t xml:space="preserve">etkovými uzly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a) </w:t>
      </w:r>
      <w:proofErr w:type="spellStart"/>
      <w:r>
        <w:rPr>
          <w:b/>
          <w:bCs/>
          <w:sz w:val="20"/>
          <w:szCs w:val="20"/>
        </w:rPr>
        <w:t>šasí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Supermicro</w:t>
      </w:r>
      <w:proofErr w:type="spellEnd"/>
      <w:r>
        <w:rPr>
          <w:sz w:val="20"/>
          <w:szCs w:val="20"/>
        </w:rPr>
        <w:t xml:space="preserve"> SYS-5039MS-H8TRF pro umístění do racku (včetně ližin); </w:t>
      </w:r>
    </w:p>
    <w:p w:rsidR="00A60C41" w:rsidRDefault="00710E18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Šasí</w:t>
      </w:r>
      <w:proofErr w:type="spellEnd"/>
      <w:r>
        <w:rPr>
          <w:sz w:val="20"/>
          <w:szCs w:val="20"/>
        </w:rPr>
        <w:t xml:space="preserve"> je osazeno 8 uzly, každý s technickými parametry: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b) základní deska </w:t>
      </w:r>
      <w:proofErr w:type="spellStart"/>
      <w:r>
        <w:rPr>
          <w:sz w:val="20"/>
          <w:szCs w:val="20"/>
        </w:rPr>
        <w:t>SuperMicro</w:t>
      </w:r>
      <w:proofErr w:type="spellEnd"/>
      <w:r>
        <w:rPr>
          <w:sz w:val="20"/>
          <w:szCs w:val="20"/>
        </w:rPr>
        <w:t xml:space="preserve"> X11SSD-F;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c) procesor </w:t>
      </w:r>
      <w:r>
        <w:rPr>
          <w:sz w:val="20"/>
          <w:szCs w:val="20"/>
        </w:rPr>
        <w:t xml:space="preserve">Intel </w:t>
      </w:r>
      <w:proofErr w:type="spellStart"/>
      <w:r>
        <w:rPr>
          <w:sz w:val="20"/>
          <w:szCs w:val="20"/>
        </w:rPr>
        <w:t>Xeon</w:t>
      </w:r>
      <w:proofErr w:type="spellEnd"/>
      <w:r>
        <w:rPr>
          <w:sz w:val="20"/>
          <w:szCs w:val="20"/>
        </w:rPr>
        <w:t xml:space="preserve"> E3-1270 v6;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d) paměť </w:t>
      </w:r>
      <w:r>
        <w:rPr>
          <w:sz w:val="20"/>
          <w:szCs w:val="20"/>
        </w:rPr>
        <w:t xml:space="preserve">2x16GB ECC 2400MHz, VLP;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e) pevný disk </w:t>
      </w:r>
      <w:r>
        <w:rPr>
          <w:sz w:val="20"/>
          <w:szCs w:val="20"/>
        </w:rPr>
        <w:t xml:space="preserve">HGST ULTRASTAR 7K2 1TB, SATA, 7200rpm, HUS722T1TALA604;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f) rozšiřující síťová karta </w:t>
      </w:r>
      <w:proofErr w:type="spellStart"/>
      <w:r>
        <w:rPr>
          <w:sz w:val="20"/>
          <w:szCs w:val="20"/>
        </w:rPr>
        <w:t>InfiniBand</w:t>
      </w:r>
      <w:proofErr w:type="spellEnd"/>
      <w:r>
        <w:rPr>
          <w:sz w:val="20"/>
          <w:szCs w:val="20"/>
        </w:rPr>
        <w:t xml:space="preserve"> FDR-10 single port;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g) </w:t>
      </w:r>
      <w:r>
        <w:rPr>
          <w:sz w:val="20"/>
          <w:szCs w:val="20"/>
        </w:rPr>
        <w:t xml:space="preserve">příslušná </w:t>
      </w:r>
      <w:proofErr w:type="spellStart"/>
      <w:r>
        <w:rPr>
          <w:sz w:val="20"/>
          <w:szCs w:val="20"/>
        </w:rPr>
        <w:t>InfiniBand</w:t>
      </w:r>
      <w:proofErr w:type="spellEnd"/>
      <w:r>
        <w:rPr>
          <w:sz w:val="20"/>
          <w:szCs w:val="20"/>
        </w:rPr>
        <w:t xml:space="preserve"> 56 </w:t>
      </w:r>
      <w:proofErr w:type="spellStart"/>
      <w:r>
        <w:rPr>
          <w:sz w:val="20"/>
          <w:szCs w:val="20"/>
        </w:rPr>
        <w:t>Gbps</w:t>
      </w:r>
      <w:proofErr w:type="spellEnd"/>
      <w:r>
        <w:rPr>
          <w:sz w:val="20"/>
          <w:szCs w:val="20"/>
        </w:rPr>
        <w:t xml:space="preserve"> kabeláž pro připojení 8 uzlů k </w:t>
      </w:r>
      <w:proofErr w:type="spellStart"/>
      <w:r>
        <w:rPr>
          <w:sz w:val="20"/>
          <w:szCs w:val="20"/>
        </w:rPr>
        <w:t>InfiniBand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switchi</w:t>
      </w:r>
      <w:proofErr w:type="spellEnd"/>
      <w:r>
        <w:rPr>
          <w:sz w:val="20"/>
          <w:szCs w:val="20"/>
        </w:rPr>
        <w:t xml:space="preserve"> v délce kabeláže 1 m;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h) </w:t>
      </w:r>
      <w:r>
        <w:rPr>
          <w:sz w:val="20"/>
          <w:szCs w:val="20"/>
        </w:rPr>
        <w:t xml:space="preserve">konektorové redukce k připojení každého uzlu v </w:t>
      </w:r>
      <w:proofErr w:type="spellStart"/>
      <w:r>
        <w:rPr>
          <w:sz w:val="20"/>
          <w:szCs w:val="20"/>
        </w:rPr>
        <w:t>šasí</w:t>
      </w:r>
      <w:proofErr w:type="spellEnd"/>
      <w:r>
        <w:rPr>
          <w:sz w:val="20"/>
          <w:szCs w:val="20"/>
        </w:rPr>
        <w:t xml:space="preserve"> ke KVM </w:t>
      </w:r>
      <w:proofErr w:type="spellStart"/>
      <w:r>
        <w:rPr>
          <w:sz w:val="20"/>
          <w:szCs w:val="20"/>
        </w:rPr>
        <w:t>switchi</w:t>
      </w:r>
      <w:proofErr w:type="spellEnd"/>
      <w:r>
        <w:rPr>
          <w:sz w:val="20"/>
          <w:szCs w:val="20"/>
        </w:rPr>
        <w:t xml:space="preserve"> (tj. zajištění možnosti připojení VGA a USB); </w:t>
      </w:r>
    </w:p>
    <w:p w:rsidR="00A60C41" w:rsidRPr="00710E18" w:rsidRDefault="00710E18">
      <w:pPr>
        <w:pStyle w:val="Default"/>
        <w:rPr>
          <w:color w:val="auto"/>
          <w:sz w:val="20"/>
          <w:szCs w:val="20"/>
        </w:rPr>
      </w:pPr>
      <w:r>
        <w:rPr>
          <w:b/>
          <w:bCs/>
          <w:sz w:val="20"/>
          <w:szCs w:val="20"/>
        </w:rPr>
        <w:t xml:space="preserve">i) </w:t>
      </w:r>
      <w:r w:rsidRPr="00710E18">
        <w:rPr>
          <w:color w:val="auto"/>
          <w:sz w:val="20"/>
          <w:szCs w:val="20"/>
        </w:rPr>
        <w:t xml:space="preserve">dodavatel poskytne na systém </w:t>
      </w:r>
      <w:proofErr w:type="spellStart"/>
      <w:r w:rsidRPr="00710E18">
        <w:rPr>
          <w:color w:val="auto"/>
          <w:sz w:val="20"/>
          <w:szCs w:val="20"/>
        </w:rPr>
        <w:t>šasí</w:t>
      </w:r>
      <w:proofErr w:type="spellEnd"/>
      <w:r w:rsidRPr="00710E18">
        <w:rPr>
          <w:color w:val="auto"/>
          <w:sz w:val="20"/>
          <w:szCs w:val="20"/>
        </w:rPr>
        <w:t xml:space="preserve"> s žiletkovými uzly záruku v délce 36 měsíců se servisem minimálně v následujícím rozsahu: do následujícího pracovního dne oprava závady nahlášené do 14:00 formou zásahu v autorizovaném servisním středisku. </w:t>
      </w:r>
    </w:p>
    <w:p w:rsidR="00A60C41" w:rsidRDefault="00A60C41">
      <w:pPr>
        <w:pStyle w:val="Default"/>
        <w:rPr>
          <w:b/>
          <w:bCs/>
          <w:sz w:val="20"/>
          <w:szCs w:val="20"/>
        </w:rPr>
      </w:pP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Bod 2. Technic</w:t>
      </w:r>
      <w:r>
        <w:rPr>
          <w:b/>
          <w:bCs/>
          <w:sz w:val="20"/>
          <w:szCs w:val="20"/>
        </w:rPr>
        <w:t xml:space="preserve">ká specifikace diskového pole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a) </w:t>
      </w:r>
      <w:r>
        <w:rPr>
          <w:sz w:val="20"/>
          <w:szCs w:val="20"/>
        </w:rPr>
        <w:t xml:space="preserve">šasi v </w:t>
      </w:r>
      <w:proofErr w:type="spellStart"/>
      <w:r>
        <w:rPr>
          <w:sz w:val="20"/>
          <w:szCs w:val="20"/>
        </w:rPr>
        <w:t>rackmount</w:t>
      </w:r>
      <w:proofErr w:type="spellEnd"/>
      <w:r>
        <w:rPr>
          <w:sz w:val="20"/>
          <w:szCs w:val="20"/>
        </w:rPr>
        <w:t xml:space="preserve"> provedení pro standardní 19“ </w:t>
      </w:r>
      <w:proofErr w:type="spellStart"/>
      <w:r>
        <w:rPr>
          <w:sz w:val="20"/>
          <w:szCs w:val="20"/>
        </w:rPr>
        <w:t>rack</w:t>
      </w:r>
      <w:proofErr w:type="spellEnd"/>
      <w:r>
        <w:rPr>
          <w:sz w:val="20"/>
          <w:szCs w:val="20"/>
        </w:rPr>
        <w:t xml:space="preserve">, napájecí kabely s konektory IEC320 C14 a C13 (lichoběžníkový, 3 konektory) pro připojení do PDU lišty, účinnost zdrojů více jak 80%;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b) </w:t>
      </w:r>
      <w:r>
        <w:rPr>
          <w:sz w:val="20"/>
          <w:szCs w:val="20"/>
        </w:rPr>
        <w:t>plně redundantní, výpadek jakékol</w:t>
      </w:r>
      <w:r>
        <w:rPr>
          <w:sz w:val="20"/>
          <w:szCs w:val="20"/>
        </w:rPr>
        <w:t>iv jedné komponenty nesmí způsobit nedostupnost úložiště, může ale vést k dočasné degradaci výkonu; redundantní napojení na přístupové servery technologií 4x12Gbit SAS minimálně dvěma aktivními cestami (tj. 2x 2x12Gbit SAS). Každý řadič diskového pole musí</w:t>
      </w:r>
      <w:r>
        <w:rPr>
          <w:sz w:val="20"/>
          <w:szCs w:val="20"/>
        </w:rPr>
        <w:t xml:space="preserve"> mít alespoň 2 odpovídající porty;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c) </w:t>
      </w:r>
      <w:r>
        <w:rPr>
          <w:sz w:val="20"/>
          <w:szCs w:val="20"/>
        </w:rPr>
        <w:t xml:space="preserve">redundantní RAID řadiče, každý s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- 16 GB </w:t>
      </w:r>
      <w:proofErr w:type="spellStart"/>
      <w:r>
        <w:rPr>
          <w:sz w:val="20"/>
          <w:szCs w:val="20"/>
        </w:rPr>
        <w:t>write-backcache</w:t>
      </w:r>
      <w:proofErr w:type="spellEnd"/>
      <w:r>
        <w:rPr>
          <w:sz w:val="20"/>
          <w:szCs w:val="20"/>
        </w:rPr>
        <w:t xml:space="preserve"> zabezpečené proti všem následujícím jevům: ztrátě dat, poškození dat při výpadku napájení (např. baterií) a poruše řadiče (např. zrcadlením </w:t>
      </w:r>
      <w:proofErr w:type="spellStart"/>
      <w:r>
        <w:rPr>
          <w:sz w:val="20"/>
          <w:szCs w:val="20"/>
        </w:rPr>
        <w:t>cache</w:t>
      </w:r>
      <w:proofErr w:type="spellEnd"/>
      <w:r>
        <w:rPr>
          <w:sz w:val="20"/>
          <w:szCs w:val="20"/>
        </w:rPr>
        <w:t xml:space="preserve"> redundantních</w:t>
      </w:r>
      <w:r>
        <w:rPr>
          <w:sz w:val="20"/>
          <w:szCs w:val="20"/>
        </w:rPr>
        <w:t xml:space="preserve"> řadičů);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- 2x host kanál s technologií 2x12Gbit SAS pro připojení přístupových serverů;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d) </w:t>
      </w:r>
      <w:r>
        <w:rPr>
          <w:sz w:val="20"/>
          <w:szCs w:val="20"/>
        </w:rPr>
        <w:t xml:space="preserve">podpora RAID </w:t>
      </w:r>
      <w:proofErr w:type="spellStart"/>
      <w:r>
        <w:rPr>
          <w:sz w:val="20"/>
          <w:szCs w:val="20"/>
        </w:rPr>
        <w:t>level</w:t>
      </w:r>
      <w:proofErr w:type="spellEnd"/>
      <w:r>
        <w:rPr>
          <w:sz w:val="20"/>
          <w:szCs w:val="20"/>
        </w:rPr>
        <w:t xml:space="preserve"> 0, 1, 10, 3, 5, 6. Podpora globálních i dedikovaných </w:t>
      </w:r>
      <w:proofErr w:type="spellStart"/>
      <w:r>
        <w:rPr>
          <w:sz w:val="20"/>
          <w:szCs w:val="20"/>
        </w:rPr>
        <w:t>spare</w:t>
      </w:r>
      <w:proofErr w:type="spellEnd"/>
      <w:r>
        <w:rPr>
          <w:sz w:val="20"/>
          <w:szCs w:val="20"/>
        </w:rPr>
        <w:t xml:space="preserve"> disků. Podpora LUN větších než 32 TB. Rozšiřování kapacity RAID a LUN prostorů za pr</w:t>
      </w:r>
      <w:r>
        <w:rPr>
          <w:sz w:val="20"/>
          <w:szCs w:val="20"/>
        </w:rPr>
        <w:t xml:space="preserve">ovozu;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e) </w:t>
      </w:r>
      <w:r>
        <w:rPr>
          <w:sz w:val="20"/>
          <w:szCs w:val="20"/>
        </w:rPr>
        <w:t xml:space="preserve">HBA karta PCI-E 3.0 x8 do provozovaného řídícího uzlu klastru pro připojení pole technologií 12Gbit SAS minimálně dvěma aktivními cestami. 2 kabely 12Gbit SAS pro redundantní propojení diskového pole v délce 1 až 2 m;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f) </w:t>
      </w:r>
      <w:r>
        <w:rPr>
          <w:sz w:val="20"/>
          <w:szCs w:val="20"/>
        </w:rPr>
        <w:t>podpora automatické per</w:t>
      </w:r>
      <w:r>
        <w:rPr>
          <w:sz w:val="20"/>
          <w:szCs w:val="20"/>
        </w:rPr>
        <w:t xml:space="preserve">iodické plánované diagnostiky a analýzy integrity dat s včasnou diagnostikou chyb a jejich automatickým opravováním;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g) </w:t>
      </w:r>
      <w:r>
        <w:rPr>
          <w:sz w:val="20"/>
          <w:szCs w:val="20"/>
        </w:rPr>
        <w:t xml:space="preserve">minimálně 16 hot-swap slotů pro 12Gb/s SAS disky s možností použít 3,5“ nebo 2,5“ disky;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h) </w:t>
      </w:r>
      <w:r>
        <w:rPr>
          <w:sz w:val="20"/>
          <w:szCs w:val="20"/>
        </w:rPr>
        <w:t>možnost použití i disků jiných výrobců než</w:t>
      </w:r>
      <w:r>
        <w:rPr>
          <w:sz w:val="20"/>
          <w:szCs w:val="20"/>
        </w:rPr>
        <w:t xml:space="preserve"> je výrobce diskového pole; </w:t>
      </w:r>
    </w:p>
    <w:p w:rsidR="00A60C41" w:rsidRDefault="00710E18">
      <w:pPr>
        <w:pStyle w:val="Default"/>
      </w:pPr>
      <w:r>
        <w:rPr>
          <w:b/>
          <w:bCs/>
          <w:sz w:val="20"/>
          <w:szCs w:val="20"/>
        </w:rPr>
        <w:t>i</w:t>
      </w:r>
      <w:r w:rsidRPr="00710E18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dodávka diskové kapacity formou pevných disků 7200 RPM, 3,5“ 12Gb/s SAS </w:t>
      </w:r>
      <w:r w:rsidRPr="00710E18">
        <w:rPr>
          <w:sz w:val="20"/>
          <w:szCs w:val="20"/>
        </w:rPr>
        <w:t>v minimální kapacitě jednoho disku 12 TB</w:t>
      </w:r>
      <w:r w:rsidRPr="00710E18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</w:p>
    <w:p w:rsidR="00A60C41" w:rsidRDefault="00710E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j) </w:t>
      </w:r>
      <w:r w:rsidRPr="00710E18">
        <w:rPr>
          <w:sz w:val="20"/>
          <w:szCs w:val="20"/>
        </w:rPr>
        <w:t>Certifikovaná podpora OS Windows a Linux;</w:t>
      </w:r>
      <w:r>
        <w:rPr>
          <w:sz w:val="20"/>
          <w:szCs w:val="20"/>
        </w:rPr>
        <w:t xml:space="preserve"> </w:t>
      </w:r>
    </w:p>
    <w:p w:rsidR="00A60C41" w:rsidRPr="00710E18" w:rsidRDefault="00710E18">
      <w:pPr>
        <w:pStyle w:val="Default"/>
        <w:rPr>
          <w:color w:val="auto"/>
          <w:sz w:val="20"/>
          <w:szCs w:val="20"/>
        </w:rPr>
      </w:pPr>
      <w:bookmarkStart w:id="0" w:name="_GoBack"/>
      <w:r>
        <w:rPr>
          <w:b/>
          <w:bCs/>
          <w:sz w:val="20"/>
          <w:szCs w:val="20"/>
        </w:rPr>
        <w:t xml:space="preserve">k) </w:t>
      </w:r>
      <w:r>
        <w:rPr>
          <w:sz w:val="20"/>
          <w:szCs w:val="20"/>
        </w:rPr>
        <w:t>SMTP, SNMP a web management a monitoring, pole bude spravová</w:t>
      </w:r>
      <w:r>
        <w:rPr>
          <w:sz w:val="20"/>
          <w:szCs w:val="20"/>
        </w:rPr>
        <w:t xml:space="preserve">no a dozorováno z Linuxového </w:t>
      </w:r>
      <w:bookmarkEnd w:id="0"/>
      <w:r>
        <w:rPr>
          <w:sz w:val="20"/>
          <w:szCs w:val="20"/>
        </w:rPr>
        <w:t xml:space="preserve">stroje. Automatický systém hlášení poruch na bázi protokolu SNMP. Zprávy systému hlášení poruch musí být možno zpracovat na stroji s operačním systémem Linux, z těchto zpráv musí být </w:t>
      </w:r>
      <w:r w:rsidRPr="00710E18">
        <w:rPr>
          <w:color w:val="auto"/>
          <w:sz w:val="20"/>
          <w:szCs w:val="20"/>
        </w:rPr>
        <w:t xml:space="preserve">rozpoznatelná chybující komponenta v lidsky </w:t>
      </w:r>
      <w:r w:rsidRPr="00710E18">
        <w:rPr>
          <w:color w:val="auto"/>
          <w:sz w:val="20"/>
          <w:szCs w:val="20"/>
        </w:rPr>
        <w:t xml:space="preserve">čitelné podobě; </w:t>
      </w:r>
    </w:p>
    <w:p w:rsidR="00A60C41" w:rsidRPr="00710E18" w:rsidRDefault="00710E18">
      <w:pPr>
        <w:spacing w:line="240" w:lineRule="auto"/>
      </w:pPr>
      <w:r w:rsidRPr="00710E18">
        <w:rPr>
          <w:b/>
          <w:bCs/>
          <w:sz w:val="20"/>
          <w:szCs w:val="20"/>
        </w:rPr>
        <w:t>l</w:t>
      </w:r>
      <w:r w:rsidRPr="00710E18">
        <w:rPr>
          <w:rFonts w:ascii="Arial" w:hAnsi="Arial" w:cs="Arial"/>
          <w:b/>
          <w:sz w:val="20"/>
          <w:szCs w:val="20"/>
        </w:rPr>
        <w:t>)</w:t>
      </w:r>
      <w:r w:rsidRPr="00710E18">
        <w:rPr>
          <w:rFonts w:ascii="Arial" w:hAnsi="Arial" w:cs="Arial"/>
          <w:sz w:val="20"/>
          <w:szCs w:val="20"/>
        </w:rPr>
        <w:t xml:space="preserve"> </w:t>
      </w:r>
      <w:r w:rsidRPr="00710E18">
        <w:rPr>
          <w:rFonts w:ascii="Arial" w:hAnsi="Arial" w:cs="Arial"/>
          <w:sz w:val="20"/>
          <w:szCs w:val="20"/>
        </w:rPr>
        <w:t>dodavatel poskytne na diskové pole záruku v délce 36 měsíců se servisem v místě instalace minimálně v následujícím rozsahu: do následujícího pracovního dne oprava závady nahlášené do 14:00 formou zásahu v místě instalace.</w:t>
      </w:r>
    </w:p>
    <w:sectPr w:rsidR="00A60C41" w:rsidRPr="00710E18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10E18">
      <w:pPr>
        <w:spacing w:after="0" w:line="240" w:lineRule="auto"/>
      </w:pPr>
      <w:r>
        <w:separator/>
      </w:r>
    </w:p>
  </w:endnote>
  <w:endnote w:type="continuationSeparator" w:id="0">
    <w:p w:rsidR="00000000" w:rsidRDefault="0071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41" w:rsidRDefault="00710E18">
    <w:pPr>
      <w:pStyle w:val="Zpat"/>
    </w:pPr>
    <w:r>
      <w:rPr>
        <w:noProof/>
        <w:lang w:eastAsia="cs-CZ"/>
      </w:rPr>
      <w:drawing>
        <wp:inline distT="0" distB="0" distL="0" distR="0">
          <wp:extent cx="4610100" cy="1028700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10E18">
      <w:pPr>
        <w:spacing w:after="0" w:line="240" w:lineRule="auto"/>
      </w:pPr>
      <w:r>
        <w:separator/>
      </w:r>
    </w:p>
  </w:footnote>
  <w:footnote w:type="continuationSeparator" w:id="0">
    <w:p w:rsidR="00000000" w:rsidRDefault="0071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41"/>
    <w:rsid w:val="00710E18"/>
    <w:rsid w:val="00A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rsid w:val="00BA5934"/>
  </w:style>
  <w:style w:type="character" w:customStyle="1" w:styleId="ZpatChar">
    <w:name w:val="Zápatí Char"/>
    <w:basedOn w:val="Standardnpsmoodstavce"/>
    <w:link w:val="Zpat"/>
    <w:uiPriority w:val="99"/>
    <w:rsid w:val="00BA5934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93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ln"/>
    <w:pPr>
      <w:spacing w:after="140" w:line="288" w:lineRule="auto"/>
    </w:pPr>
  </w:style>
  <w:style w:type="paragraph" w:styleId="Seznam">
    <w:name w:val="List"/>
    <w:basedOn w:val="TextBody"/>
    <w:rPr>
      <w:rFonts w:cs="FreeSans"/>
    </w:rPr>
  </w:style>
  <w:style w:type="paragraph" w:styleId="Titulek">
    <w:name w:val="caption"/>
    <w:basedOn w:val="Normln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  <w:rPr>
      <w:rFonts w:cs="FreeSans"/>
    </w:rPr>
  </w:style>
  <w:style w:type="paragraph" w:customStyle="1" w:styleId="Default">
    <w:name w:val="Default"/>
    <w:rsid w:val="00BA5934"/>
    <w:pPr>
      <w:suppressAutoHyphens/>
      <w:spacing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A593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A593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A593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rsid w:val="00BA5934"/>
  </w:style>
  <w:style w:type="character" w:customStyle="1" w:styleId="ZpatChar">
    <w:name w:val="Zápatí Char"/>
    <w:basedOn w:val="Standardnpsmoodstavce"/>
    <w:link w:val="Zpat"/>
    <w:uiPriority w:val="99"/>
    <w:rsid w:val="00BA5934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93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ln"/>
    <w:pPr>
      <w:spacing w:after="140" w:line="288" w:lineRule="auto"/>
    </w:pPr>
  </w:style>
  <w:style w:type="paragraph" w:styleId="Seznam">
    <w:name w:val="List"/>
    <w:basedOn w:val="TextBody"/>
    <w:rPr>
      <w:rFonts w:cs="FreeSans"/>
    </w:rPr>
  </w:style>
  <w:style w:type="paragraph" w:styleId="Titulek">
    <w:name w:val="caption"/>
    <w:basedOn w:val="Normln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  <w:rPr>
      <w:rFonts w:cs="FreeSans"/>
    </w:rPr>
  </w:style>
  <w:style w:type="paragraph" w:customStyle="1" w:styleId="Default">
    <w:name w:val="Default"/>
    <w:rsid w:val="00BA5934"/>
    <w:pPr>
      <w:suppressAutoHyphens/>
      <w:spacing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A593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A593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A593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679</Words>
  <Characters>4008</Characters>
  <Application>Microsoft Office Word</Application>
  <DocSecurity>0</DocSecurity>
  <Lines>33</Lines>
  <Paragraphs>9</Paragraphs>
  <ScaleCrop>false</ScaleCrop>
  <Company>Západočeská Univerzita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Vítková</dc:creator>
  <cp:lastModifiedBy>Michaela Vítková</cp:lastModifiedBy>
  <cp:revision>4</cp:revision>
  <dcterms:created xsi:type="dcterms:W3CDTF">2019-05-10T07:12:00Z</dcterms:created>
  <dcterms:modified xsi:type="dcterms:W3CDTF">2019-05-14T10:50:00Z</dcterms:modified>
  <dc:language>cs-CZ</dc:language>
</cp:coreProperties>
</file>