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1339AE">
        <w:rPr>
          <w:rFonts w:ascii="Garamond" w:hAnsi="Garamond"/>
          <w:b/>
          <w:bCs/>
          <w:sz w:val="32"/>
          <w:szCs w:val="36"/>
        </w:rPr>
        <w:t>4</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1339AE">
        <w:rPr>
          <w:rFonts w:ascii="Garamond" w:hAnsi="Garamond"/>
          <w:b/>
          <w:bCs/>
        </w:rPr>
        <w:t>4</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w:t>
      </w:r>
      <w:r w:rsidR="001339AE">
        <w:rPr>
          <w:rFonts w:ascii="Garamond" w:hAnsi="Garamond"/>
          <w:b/>
          <w:highlight w:val="yellow"/>
        </w:rPr>
        <w:t>1</w:t>
      </w:r>
      <w:r w:rsidR="005D4FE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5D4FE3">
        <w:rPr>
          <w:rFonts w:ascii="Garamond" w:hAnsi="Garamond"/>
          <w:b/>
          <w:highlight w:val="yellow"/>
        </w:rPr>
        <w:t>09</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39AE"/>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R2W33HvdqQsRZvp4TLa+XRdSKZY=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/giInm3Qzzyj5fnGA4bvCUy7ZQw=</DigestValue>
    </Reference>
  </SignedInfo>
  <SignatureValue>IGyeu+dg7O3X85tFPfMPucxzlXj7g4pkLe+5tolO4/CxJKus6CzfcI9poaW3Fj1m8bEvfxA1VeQ7
78PjjVugvOiaaF2qapP9IhaLG7DyBzjEipEGB053TPleRnH1rxscPKlJ1XuzZMcUIKseYdI1Rd/U
ymBbaNrN5fm34PWB0gFxGYeuWvvWnW4NFK6b1syMGaOzkENErCSMTKH8MRWWMe6hQ8oZGxEvWuqi
WmtI6n0P9cCVAN8p9OPTUaQINjQ2i7ZVQdXjA0+dfoH0mF9MZjP7JydoDYqvllJgofEGVb3LHzGv
gcw5YtsrgxY00DzYsjekIEBc4jJwFXmm4aLlSQ==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gEfOP7fnDnyxx1X7h6WYRHJdwfA=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MOLFWlW8SWQKzUNZ5XKesY+nJ0A=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2019-05-07T05:40:47Z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2019-05-07T05:40:47Z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820F6-94FD-44B2-B63D-DB4DA3F5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1789</Words>
  <Characters>10560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2014-08-25T12:38:00Z</cp:lastPrinted>
  <dcterms:created xsi:type="dcterms:W3CDTF">2018-06-20T08:23:00Z</dcterms:created>
  <dcterms:modified xsi:type="dcterms:W3CDTF">2019-05-07T05:40:00Z</dcterms:modified>
</cp:coreProperties>
</file>