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834496">
        <w:rPr>
          <w:rFonts w:ascii="Garamond" w:hAnsi="Garamond"/>
          <w:b/>
          <w:bCs/>
          <w:sz w:val="32"/>
          <w:szCs w:val="36"/>
        </w:rPr>
        <w:t>9</w:t>
      </w:r>
      <w:r w:rsidR="005F5546">
        <w:rPr>
          <w:rFonts w:ascii="Garamond" w:hAnsi="Garamond"/>
          <w:b/>
          <w:bCs/>
          <w:sz w:val="32"/>
          <w:szCs w:val="36"/>
        </w:rPr>
        <w:t>6</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834496">
        <w:rPr>
          <w:rFonts w:ascii="Garamond" w:hAnsi="Garamond"/>
          <w:b/>
          <w:bCs/>
        </w:rPr>
        <w:t>9</w:t>
      </w:r>
      <w:r w:rsidR="005F5546">
        <w:rPr>
          <w:rFonts w:ascii="Garamond" w:hAnsi="Garamond"/>
          <w:b/>
          <w:bCs/>
        </w:rPr>
        <w:t>6</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7F7DDF">
        <w:rPr>
          <w:rFonts w:ascii="Garamond" w:hAnsi="Garamond"/>
          <w:b w:val="0"/>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F5546">
        <w:rPr>
          <w:rFonts w:ascii="Garamond" w:hAnsi="Garamond"/>
          <w:b/>
          <w:highlight w:val="yellow"/>
        </w:rPr>
        <w:t>7.12</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FE0D49">
        <w:rPr>
          <w:rFonts w:ascii="Garamond" w:hAnsi="Garamond"/>
          <w:b/>
          <w:highlight w:val="yellow"/>
        </w:rPr>
        <w:t> </w:t>
      </w:r>
      <w:r w:rsidR="00637329">
        <w:rPr>
          <w:rFonts w:ascii="Garamond" w:hAnsi="Garamond"/>
          <w:b/>
          <w:highlight w:val="yellow"/>
        </w:rPr>
        <w:t>10</w:t>
      </w:r>
      <w:r w:rsidR="00FE0D49">
        <w:rPr>
          <w:rFonts w:ascii="Garamond" w:hAnsi="Garamond"/>
          <w:b/>
          <w:highlight w:val="yellow"/>
        </w:rPr>
        <w:t>:</w:t>
      </w:r>
      <w:r w:rsidR="00637329">
        <w:rPr>
          <w:rFonts w:ascii="Garamond" w:hAnsi="Garamond"/>
          <w:b/>
          <w:highlight w:val="yellow"/>
        </w:rPr>
        <w:t>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8" w:name="_Toc377734764"/>
      <w:bookmarkStart w:id="39"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37278D">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4" w:name="_Toc377734771"/>
      <w:bookmarkStart w:id="45" w:name="_Toc378837910"/>
      <w:r w:rsidRPr="00112348">
        <w:rPr>
          <w:rFonts w:ascii="Garamond" w:hAnsi="Garamond"/>
          <w:sz w:val="28"/>
        </w:rPr>
        <w:t>OSTATNÍ PODMÍNKY</w:t>
      </w:r>
      <w:bookmarkEnd w:id="44"/>
      <w:bookmarkEnd w:id="45"/>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lastRenderedPageBreak/>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bookmarkStart w:id="46" w:name="_GoBack"/>
      <w:bookmarkEnd w:id="46"/>
      <w:r w:rsidR="005B2C54" w:rsidRPr="001A3B18">
        <w:rPr>
          <w:rFonts w:ascii="Garamond" w:hAnsi="Garamond"/>
        </w:rPr>
        <w:t>Nákup a veřejné zakázky</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8723F0">
          <w:rPr>
            <w:noProof/>
          </w:rPr>
          <w:t>1</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658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496"/>
    <w:rsid w:val="0083487C"/>
    <w:rsid w:val="00847ED8"/>
    <w:rsid w:val="008527B2"/>
    <w:rsid w:val="00854338"/>
    <w:rsid w:val="008576DD"/>
    <w:rsid w:val="00860042"/>
    <w:rsid w:val="00860F8C"/>
    <w:rsid w:val="00866200"/>
    <w:rsid w:val="008723F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TPUCJ+jO5VaOo1JK9+IGpooBcVs=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gLTlWl07lEJk3yjrJ5rfwEmpNWk=</DigestValue>
    </Reference>
  </SignedInfo>
  <SignatureValue>e0DfL+x37Qrp6BcybrupPW5Ypz6QXSF/XC7K4qN6EiW17ODABHwEeUIAKVMyRyo/x+YSKpovtlRY
/C6g5AxN9JA6hTtWq4FFwwcSA7FX3IEKNMCBqck+n7ZTEUorKFtx2hoRqn+ARHrM7UkjdMMZRuUS
JpTW1BXiwgH/Y44SKgV/74wjCE6tokfWcS9rsDacW/rdZL776y1G+iPNY+V+rqDvblP7Uck+Te9p
lXldeA6ayIdYJlP+qhJQWPxBwbfFw0vQXsByXsR0Uas9HeAFt6FyYvYR1LSbJ61qszfbAfdt8ToJ
VCFH55C7Dwwgh8DWcw1Xl9VUUamIEojGWi31Pg==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NDmIlepH5JOtPogxQmFHNu4QwuM=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r/neaXc1rx6yvKCgyTZal8bq4e0=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QO1a+CMryOoLZsNIl2F50AnlGzo=</DigestValue>
      </Reference>
      <Reference URI="/word/document.xml?ContentType=application/vnd.openxmlformats-officedocument.wordprocessingml.document.main+xml">
        <DigestMethod Algorithm="http://www.w3.org/2000/09/xmldsig#sha1"/>
        <DigestValue>EEH/3irXg8OixGMKcsSifwsCTBE=</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2018-11-27T06:37:34Z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2018-11-27T06:37:34Z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49E4F-FA90-4956-A234-5B7C67A9B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1710</Words>
  <Characters>10093</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2018-10-09T06:29:00Z</cp:lastPrinted>
  <dcterms:created xsi:type="dcterms:W3CDTF">2018-10-16T11:50:00Z</dcterms:created>
  <dcterms:modified xsi:type="dcterms:W3CDTF">2018-11-27T06:37:00Z</dcterms:modified>
</cp:coreProperties>
</file>