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093C1C">
        <w:rPr>
          <w:rFonts w:ascii="Garamond" w:hAnsi="Garamond"/>
          <w:b/>
          <w:bCs/>
          <w:sz w:val="32"/>
          <w:szCs w:val="36"/>
        </w:rPr>
        <w:t>98</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093C1C">
        <w:rPr>
          <w:rFonts w:ascii="Garamond" w:hAnsi="Garamond"/>
          <w:b/>
          <w:bCs/>
        </w:rPr>
        <w:t>98</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lastRenderedPageBreak/>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lastRenderedPageBreak/>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093C1C">
        <w:rPr>
          <w:rFonts w:ascii="Garamond" w:hAnsi="Garamond"/>
          <w:b/>
          <w:highlight w:val="yellow"/>
        </w:rPr>
        <w:t>9</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093C1C">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lastRenderedPageBreak/>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lastRenderedPageBreak/>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r>
      <w:rPr>
        <w:noProof/>
      </w:rPr>
      <w:drawing>
        <wp:inline distT="0" distB="0" distL="0" distR="0" wp14:anchorId="33D5EB28" wp14:editId="30AB1F65">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6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6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p7qLfX14i9CS+u0ErV8B6tmgrdk=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tMkkgLbkyCHV1wOwFt18XK1eYZk=</DigestValue>
    </Reference>
  </SignedInfo>
  <SignatureValue>Bvb7M6ljqNkJLz67Vhrb1FFSjUVsIFqN8dsJXzd+6ElMOagw3mjnbihj0M8m3CNAYIDMgHsv2hsX
/KFLz81EJyzT/OBG3C0gm2RoXH1Z74RfPOftpq2Z6aACVLyaGdXC44jrd+4GTg2Zmc1XntV99e9Z
nhI3/ZvF8AP4v9miJLvKPEW+m5UqJgqeMpBooYaIj+hSIIH3Cq4kSsn5zEGo4lRAaD3bg6wY/Cv9
aF3QuyK1aiH9Vc0X6hC9F8CkU2RRzDN2d0HBSaf8WXX4j592j661xDvI1s1YOcwidcmjOZxw0u7m
9LQqSD4t40nNPfnOZJUmbwM/MYOUkaHjBCREsw==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zzvSJi7ymzACkTm7FM07TiG8+rU=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rJ0pRzS4A26zm0Ophl491RPZvhY=</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iYAVG4El0qT96I6hMG7IDlSGacQ=</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2018-11-06T13:18:17Z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2018-11-06T13:18:17Z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16E20-0EAF-4610-A0D1-72B0F5791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2018-11-05T11:40:00Z</dcterms:created>
  <dcterms:modified xsi:type="dcterms:W3CDTF">2018-11-06T13:18:00Z</dcterms:modified>
</cp:coreProperties>
</file>