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06</w:t>
      </w:r>
      <w:r w:rsidR="006113AA">
        <w:rPr>
          <w:rFonts w:ascii="Garamond" w:hAnsi="Garamond"/>
          <w:b/>
          <w:bCs/>
          <w:sz w:val="32"/>
          <w:szCs w:val="36"/>
        </w:rPr>
        <w:t>5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06</w:t>
      </w:r>
      <w:r w:rsidR="006113AA">
        <w:rPr>
          <w:rFonts w:ascii="Garamond" w:hAnsi="Garamond"/>
          <w:b/>
          <w:bCs/>
        </w:rPr>
        <w:t>5</w:t>
      </w:r>
      <w:r w:rsidR="00B40EE3" w:rsidRPr="00B40EE3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421B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050E03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4951F2" w:rsidRPr="00112348" w:rsidRDefault="004951F2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</w:t>
      </w:r>
      <w:r w:rsidRPr="00112348">
        <w:rPr>
          <w:rFonts w:ascii="Garamond" w:hAnsi="Garamond"/>
        </w:rPr>
        <w:lastRenderedPageBreak/>
        <w:t xml:space="preserve">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2D36F5" w:rsidRPr="002D36F5" w:rsidRDefault="005D6342" w:rsidP="004951F2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4951F2">
        <w:rPr>
          <w:rFonts w:ascii="Garamond" w:hAnsi="Garamond" w:cs="Calibri"/>
        </w:rPr>
        <w:t>viz Příloha č. 1 návrhu Kupní smlouvy</w:t>
      </w:r>
      <w:r w:rsidR="004951F2" w:rsidRPr="004951F2">
        <w:rPr>
          <w:rFonts w:ascii="Garamond" w:hAnsi="Garamond" w:cs="Calibri"/>
        </w:rPr>
        <w:t xml:space="preserve"> </w:t>
      </w:r>
      <w:r w:rsidR="002D36F5" w:rsidRPr="002D36F5">
        <w:rPr>
          <w:rFonts w:ascii="Garamond" w:hAnsi="Garamond" w:cs="Calibri"/>
        </w:rPr>
        <w:t xml:space="preserve"> 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6113AA">
        <w:rPr>
          <w:rFonts w:ascii="Garamond" w:hAnsi="Garamond"/>
          <w:b/>
        </w:rPr>
        <w:t>77.560</w:t>
      </w:r>
      <w:r w:rsidR="009214FA">
        <w:rPr>
          <w:rFonts w:ascii="Garamond" w:hAnsi="Garamond"/>
          <w:b/>
        </w:rPr>
        <w:t>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lastRenderedPageBreak/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Default="00175BF4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</w:t>
      </w:r>
      <w:r>
        <w:rPr>
          <w:rFonts w:ascii="Garamond" w:hAnsi="Garamond"/>
        </w:rPr>
        <w:t xml:space="preserve"> a v </w:t>
      </w:r>
      <w:r w:rsidRPr="00112348">
        <w:rPr>
          <w:rFonts w:ascii="Garamond" w:hAnsi="Garamond"/>
        </w:rPr>
        <w:t>návrhu Kupní smlouvy</w:t>
      </w:r>
      <w:r w:rsidR="005D6342" w:rsidRPr="00112348">
        <w:rPr>
          <w:rFonts w:ascii="Garamond" w:hAnsi="Garamond"/>
        </w:rPr>
        <w:t xml:space="preserve">. </w:t>
      </w:r>
    </w:p>
    <w:p w:rsidR="00175BF4" w:rsidRPr="00112348" w:rsidRDefault="00175BF4" w:rsidP="00037A57">
      <w:pPr>
        <w:spacing w:after="0"/>
        <w:ind w:left="432"/>
        <w:jc w:val="both"/>
        <w:rPr>
          <w:rFonts w:ascii="Garamond" w:hAnsi="Garamond"/>
        </w:rPr>
      </w:pP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lastRenderedPageBreak/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  <w:r w:rsidR="00175BF4" w:rsidRPr="00175BF4">
        <w:rPr>
          <w:rFonts w:ascii="Garamond" w:hAnsi="Garamond"/>
          <w:sz w:val="28"/>
        </w:rPr>
        <w:t xml:space="preserve"> </w:t>
      </w:r>
      <w:r w:rsidR="00175BF4">
        <w:rPr>
          <w:rFonts w:ascii="Garamond" w:hAnsi="Garamond"/>
          <w:sz w:val="28"/>
        </w:rPr>
        <w:t>a PODÁNÍ NABÍDKY</w:t>
      </w:r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4951F2">
        <w:rPr>
          <w:rFonts w:ascii="Garamond" w:hAnsi="Garamond"/>
          <w:b/>
          <w:highlight w:val="yellow"/>
        </w:rPr>
        <w:t>10</w:t>
      </w:r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</w:t>
      </w:r>
      <w:r w:rsidR="00DD3029">
        <w:rPr>
          <w:rFonts w:ascii="Garamond" w:hAnsi="Garamond"/>
          <w:b/>
          <w:highlight w:val="yellow"/>
        </w:rPr>
        <w:t>1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8E29F3" w:rsidRPr="008E29F3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6113AA">
        <w:rPr>
          <w:rFonts w:ascii="Garamond" w:hAnsi="Garamond"/>
          <w:b/>
          <w:highlight w:val="yellow"/>
        </w:rPr>
        <w:t>3</w:t>
      </w:r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6" w:name="_Toc377734778"/>
      <w:bookmarkStart w:id="37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6"/>
      <w:bookmarkEnd w:id="37"/>
    </w:p>
    <w:p w:rsidR="00160102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</w:t>
      </w:r>
      <w:bookmarkStart w:id="38" w:name="_GoBack"/>
      <w:bookmarkEnd w:id="38"/>
      <w:r w:rsidRPr="00112348">
        <w:rPr>
          <w:rFonts w:ascii="Garamond" w:hAnsi="Garamond"/>
          <w:b/>
        </w:rPr>
        <w:t>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8A0E39" w:rsidRDefault="00195648" w:rsidP="008A0E39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VYSVĚTLENÍ</w:t>
      </w:r>
      <w:r w:rsidR="008A0E39">
        <w:rPr>
          <w:rFonts w:ascii="Garamond" w:hAnsi="Garamond"/>
          <w:sz w:val="28"/>
        </w:rPr>
        <w:t xml:space="preserve"> ZADÁVACÍ DOKUMENTACE</w:t>
      </w:r>
    </w:p>
    <w:p w:rsidR="008A0E39" w:rsidRPr="008A0E39" w:rsidRDefault="008A0E39" w:rsidP="008A0E39"/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VYSVĚTLENÍ ZADÁVACÍ DOKUMENTACE</w:t>
      </w:r>
    </w:p>
    <w:p w:rsidR="008A0E39" w:rsidRDefault="008A0E39" w:rsidP="008A0E39">
      <w:pPr>
        <w:ind w:left="425"/>
        <w:jc w:val="both"/>
        <w:rPr>
          <w:rFonts w:ascii="Garamond" w:hAnsi="Garamond"/>
        </w:rPr>
      </w:pPr>
      <w:r>
        <w:rPr>
          <w:rFonts w:ascii="Garamond" w:hAnsi="Garamond"/>
        </w:rPr>
        <w:t>Dodavatel je oprávněn požadovat po Zadavateli vysvětlení zadávací dokumentace. Žádost musí být podána elektronicky, přičemž Zadavatel doporučuje využití elektronického nástroje E-ZAK.</w:t>
      </w:r>
    </w:p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9" w:name="_Toc378837908"/>
      <w:bookmarkStart w:id="40" w:name="_Toc377734769"/>
      <w:r>
        <w:rPr>
          <w:rFonts w:ascii="Garamond" w:hAnsi="Garamond"/>
          <w:sz w:val="22"/>
          <w:szCs w:val="22"/>
        </w:rPr>
        <w:t>POSKYTOVÁNÍ VYSVĚTLENÍ ZADÁVACÍ DOKUMENTACE</w:t>
      </w:r>
      <w:bookmarkEnd w:id="39"/>
      <w:bookmarkEnd w:id="40"/>
    </w:p>
    <w:p w:rsidR="008A0E39" w:rsidRDefault="008A0E39" w:rsidP="008A0E39">
      <w:pPr>
        <w:spacing w:after="0"/>
        <w:ind w:left="432"/>
        <w:jc w:val="both"/>
        <w:rPr>
          <w:rFonts w:ascii="Garamond" w:hAnsi="Garamond" w:cs="StempelGaramondLTPro-Roman"/>
        </w:rPr>
      </w:pPr>
      <w:r>
        <w:rPr>
          <w:rFonts w:ascii="Garamond" w:hAnsi="Garamond"/>
        </w:rPr>
        <w:t xml:space="preserve">Dodavatel je oprávněn elektronicky požadovat po Zadavateli vysvětlení zadávací dokumentace, a to nejpozději ve lhůtě 8 pracovních dnů před uplynutím lhůty pro podání nabídek. Na základě žádosti </w:t>
      </w:r>
      <w:r>
        <w:rPr>
          <w:rFonts w:ascii="Garamond" w:hAnsi="Garamond"/>
        </w:rPr>
        <w:br/>
        <w:t>o vysvětlení zadávací dokumentace Zadavatel poskytne dodavateli vysvětlení zadávací dokumentace elektronicky prostřednictvím elektronického nástroje E-ZAK nejpozději do 3 pracovních dnů ode dne doručení žádosti dodavatele. Toto vysvětlení zadávací dokumentace, včetně přesného znění žádosti, poskytne Zadavatel i všem ostatním dodavatelům. Zadavatel</w:t>
      </w:r>
      <w:r>
        <w:rPr>
          <w:rFonts w:ascii="Garamond" w:hAnsi="Garamond" w:cs="StempelGaramondLTPro-Roman"/>
        </w:rPr>
        <w:t xml:space="preserve"> není povinen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 xml:space="preserve">tlení zadávací dokumentace poskytnout, pokud není </w:t>
      </w:r>
      <w:r>
        <w:rPr>
          <w:rFonts w:ascii="Garamond" w:hAnsi="Garamond" w:cs="StempelGaramondLTPro-Roman+01"/>
        </w:rPr>
        <w:t>ž</w:t>
      </w:r>
      <w:r>
        <w:rPr>
          <w:rFonts w:ascii="Garamond" w:hAnsi="Garamond" w:cs="StempelGaramondLTPro-Roman"/>
        </w:rPr>
        <w:t>ádost o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>tlení doru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ena v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as, tj. ve lhůtě uvedené ve větě první tohoto odstavce.</w:t>
      </w:r>
    </w:p>
    <w:p w:rsidR="00FD5127" w:rsidRPr="00F90C15" w:rsidRDefault="00FD5127" w:rsidP="00FD5127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bookmarkStart w:id="41" w:name="_Toc377734770"/>
      <w:bookmarkStart w:id="42" w:name="_Toc378837909"/>
      <w:r w:rsidRPr="00F90C15">
        <w:rPr>
          <w:rFonts w:ascii="Garamond" w:hAnsi="Garamond"/>
          <w:sz w:val="22"/>
          <w:szCs w:val="22"/>
        </w:rPr>
        <w:t xml:space="preserve">POSKYTOVÁNÍ VYSVĚTLENÍ ZADÁVACÍ DOKUMENTACE BEZ PŘEDCHOZÍ ŽÁDOSTI </w:t>
      </w:r>
      <w:bookmarkEnd w:id="41"/>
      <w:bookmarkEnd w:id="42"/>
      <w:r>
        <w:rPr>
          <w:rFonts w:ascii="Garamond" w:hAnsi="Garamond"/>
          <w:sz w:val="22"/>
          <w:szCs w:val="22"/>
        </w:rPr>
        <w:t>DODAVATELE</w:t>
      </w:r>
    </w:p>
    <w:p w:rsidR="00FD5127" w:rsidRPr="00112348" w:rsidRDefault="00FD5127" w:rsidP="00FD5127">
      <w:pPr>
        <w:spacing w:after="0"/>
        <w:ind w:left="432"/>
        <w:jc w:val="both"/>
        <w:rPr>
          <w:rFonts w:ascii="Garamond" w:hAnsi="Garamond"/>
          <w:color w:val="FF0000"/>
        </w:rPr>
      </w:pPr>
      <w:r w:rsidRPr="00F90C15">
        <w:rPr>
          <w:rFonts w:ascii="Garamond" w:hAnsi="Garamond"/>
        </w:rPr>
        <w:t xml:space="preserve">Zadavatel může v souladu s ust. § 98 odst. 1 Zákona poskytnout </w:t>
      </w:r>
      <w:r>
        <w:rPr>
          <w:rFonts w:ascii="Garamond" w:hAnsi="Garamond"/>
        </w:rPr>
        <w:t>dodavatelům</w:t>
      </w:r>
      <w:r w:rsidRPr="00F90C15">
        <w:rPr>
          <w:rFonts w:ascii="Garamond" w:hAnsi="Garamond"/>
        </w:rPr>
        <w:t xml:space="preserve"> vysvětlení zadávací dokumentace prostřednictvím elektronického nástroje E-ZAK i bez předchozí žádosti </w:t>
      </w:r>
      <w:r>
        <w:rPr>
          <w:rFonts w:ascii="Garamond" w:hAnsi="Garamond"/>
        </w:rPr>
        <w:t>dodavatelů</w:t>
      </w:r>
      <w:r w:rsidRPr="00F90C15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43" w:name="_Toc377734764"/>
      <w:bookmarkStart w:id="44" w:name="_Toc378837903"/>
      <w:r w:rsidRPr="00112348">
        <w:rPr>
          <w:rFonts w:ascii="Garamond" w:hAnsi="Garamond"/>
          <w:sz w:val="28"/>
        </w:rPr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43"/>
      <w:bookmarkEnd w:id="44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5" w:name="_Toc377734765"/>
      <w:bookmarkStart w:id="46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5"/>
      <w:bookmarkEnd w:id="46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7" w:name="_Toc377734766"/>
      <w:bookmarkStart w:id="48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7"/>
      <w:bookmarkEnd w:id="48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9" w:name="_Toc377734771"/>
      <w:bookmarkStart w:id="50" w:name="_Toc378837910"/>
      <w:r w:rsidRPr="00112348">
        <w:rPr>
          <w:rFonts w:ascii="Garamond" w:hAnsi="Garamond"/>
          <w:sz w:val="28"/>
        </w:rPr>
        <w:t>OSTATNÍ PODMÍNKY</w:t>
      </w:r>
      <w:bookmarkEnd w:id="49"/>
      <w:bookmarkEnd w:id="50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8A0E39" w:rsidRDefault="008A0E39" w:rsidP="00F94B04">
      <w:pPr>
        <w:spacing w:after="0"/>
        <w:ind w:left="426"/>
        <w:jc w:val="both"/>
        <w:rPr>
          <w:rFonts w:ascii="Garamond" w:hAnsi="Garamond"/>
        </w:rPr>
      </w:pPr>
    </w:p>
    <w:p w:rsidR="008A0E39" w:rsidRDefault="008A0E39" w:rsidP="008A0E39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ZRUŠENÍ VEŘEJNÉ ZAKÁZKY</w:t>
      </w:r>
    </w:p>
    <w:p w:rsidR="008A0E39" w:rsidRPr="00112348" w:rsidRDefault="008A0E39" w:rsidP="008A0E39">
      <w:pPr>
        <w:spacing w:after="0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Pokud Zadavatel zruší veřejnou zakázku, nevzniká dodavateli vůči Zadavateli jakýkoliv nárok na náhradu nákladů spojených s účastí v této veřejné zakázce.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5BF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5648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951F2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3AA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0E39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029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127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gig3kYLFHrHcv7meeRq8lTOnTfA=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hNJgyt/ALOU6n6LoDGqKFLhM/+M=</DigestValue>
    </Reference>
  </SignedInfo>
  <SignatureValue>LuT9islNQYPt6godzzlO8JHkYrdxaWRWchy8CZYKbpNATth9Uonj9iBxyvXfIC27PSo27eNXuSCf
LPu9oZywT7+ck6hz/20QiFyu/oomUFGYS76y7RcROahwslvW6j8P8bjz2LSEgaKID37QOhjNlzMT
7o3elaJR5Ufh3CvZAxsROqhwX27EEJnOXyy6Ep+JWWqmBWLphOdbD1he0tGp6DhYAYizqEIJ554Y
v7l3XcyLR/19Tl3h00OC7UN58+/uMQTSJF/QA0gv/3DOT21KS0xfnaJMoopZx+oFR+ZbPLmkQnGX
CDHVzPqDtPsg2cGqNNTLJuGBQDwlTCnYCL1oxw==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aozPWCB0msrwTqasquFUFNNkD+4=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Kv6Q3oTPiMwFH/dswKKlCgv4i/Y=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jCFjMg7r0dKRV4NTa/IVI/mhCW0=</DigestValue>
      </Reference>
      <Reference URI="/word/fontTable.xml?ContentType=application/vnd.openxmlformats-officedocument.wordprocessingml.fontTable+xml">
        <DigestMethod Algorithm="http://www.w3.org/2000/09/xmldsig#sha1"/>
        <DigestValue>Ey0o4Law5sK1Z3RVx2cLQTdC5k4=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G3SDIPGnOas0u2Uz1g7Vjt/Q2Mg=</DigestValue>
      </Reference>
      <Reference URI="/word/document.xml?ContentType=application/vnd.openxmlformats-officedocument.wordprocessingml.document.main+xml">
        <DigestMethod Algorithm="http://www.w3.org/2000/09/xmldsig#sha1"/>
        <DigestValue>cyessHY8jm4c3937wfRMmXoXiKQ=</DigestValue>
      </Reference>
      <Reference URI="/word/footnotes.xml?ContentType=application/vnd.openxmlformats-officedocument.wordprocessingml.footnotes+xml">
        <DigestMethod Algorithm="http://www.w3.org/2000/09/xmldsig#sha1"/>
        <DigestValue>q2OGxJiJjTNP4hbUkEwIwOOmFug=</DigestValue>
      </Reference>
      <Reference URI="/word/endnotes.xml?ContentType=application/vnd.openxmlformats-officedocument.wordprocessingml.endnotes+xml">
        <DigestMethod Algorithm="http://www.w3.org/2000/09/xmldsig#sha1"/>
        <DigestValue>BHW8PfO17prkgDYyEFbvpbOWslc=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kjkX8dOaFYGU/O2VOCYMOdvFB34=</DigestValue>
      </Reference>
    </Manifest>
    <SignatureProperties>
      <SignatureProperty Id="idSignatureTime" Target="#idPackageSignature">
        <mdssi:SignatureTime>
          <mdssi:Format>YYYY-MM-DDThh:mm:ssTZD</mdssi:Format>
          <mdssi:Value>2016-10-27T13:14:35Z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2016-10-27T13:14:35Z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8999-08A1-421F-9073-75C4FDA2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1614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3</cp:revision>
  <cp:lastPrinted>2014-08-25T12:38:00Z</cp:lastPrinted>
  <dcterms:created xsi:type="dcterms:W3CDTF">2016-10-27T13:01:00Z</dcterms:created>
  <dcterms:modified xsi:type="dcterms:W3CDTF">2016-10-27T13:14:00Z</dcterms:modified>
</cp:coreProperties>
</file>