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</w:t>
      </w:r>
      <w:r w:rsidR="004951F2">
        <w:rPr>
          <w:rFonts w:ascii="Garamond" w:hAnsi="Garamond"/>
          <w:b/>
          <w:bCs/>
          <w:sz w:val="32"/>
          <w:szCs w:val="36"/>
        </w:rPr>
        <w:t>4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</w:t>
      </w:r>
      <w:r w:rsidR="004951F2">
        <w:rPr>
          <w:rFonts w:ascii="Garamond" w:hAnsi="Garamond"/>
          <w:b/>
          <w:bCs/>
        </w:rPr>
        <w:t>4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4951F2" w:rsidRPr="00112348" w:rsidRDefault="004951F2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</w:t>
      </w:r>
      <w:r w:rsidRPr="00112348">
        <w:rPr>
          <w:rFonts w:ascii="Garamond" w:hAnsi="Garamond"/>
        </w:rPr>
        <w:lastRenderedPageBreak/>
        <w:t xml:space="preserve">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2D36F5" w:rsidRPr="002D36F5" w:rsidRDefault="005D6342" w:rsidP="004951F2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4951F2">
        <w:rPr>
          <w:rFonts w:ascii="Garamond" w:hAnsi="Garamond" w:cs="Calibri"/>
        </w:rPr>
        <w:t>viz Příloha č. 1 návrhu Kupní smlouvy</w:t>
      </w:r>
      <w:r w:rsidR="004951F2" w:rsidRPr="004951F2">
        <w:rPr>
          <w:rFonts w:ascii="Garamond" w:hAnsi="Garamond" w:cs="Calibri"/>
        </w:rPr>
        <w:t xml:space="preserve"> </w:t>
      </w:r>
      <w:r w:rsidR="002D36F5" w:rsidRPr="002D36F5">
        <w:rPr>
          <w:rFonts w:ascii="Garamond" w:hAnsi="Garamond" w:cs="Calibri"/>
        </w:rPr>
        <w:t xml:space="preserve"> 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4951F2">
        <w:rPr>
          <w:rFonts w:ascii="Garamond" w:hAnsi="Garamond"/>
          <w:b/>
        </w:rPr>
        <w:t>81.880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lastRenderedPageBreak/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Default="00175BF4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</w:t>
      </w:r>
      <w:r>
        <w:rPr>
          <w:rFonts w:ascii="Garamond" w:hAnsi="Garamond"/>
        </w:rPr>
        <w:t xml:space="preserve"> a v </w:t>
      </w:r>
      <w:r w:rsidRPr="00112348">
        <w:rPr>
          <w:rFonts w:ascii="Garamond" w:hAnsi="Garamond"/>
        </w:rPr>
        <w:t>návrhu Kupní smlouvy</w:t>
      </w:r>
      <w:r w:rsidR="005D6342" w:rsidRPr="00112348">
        <w:rPr>
          <w:rFonts w:ascii="Garamond" w:hAnsi="Garamond"/>
        </w:rPr>
        <w:t xml:space="preserve">. </w:t>
      </w:r>
    </w:p>
    <w:p w:rsidR="00175BF4" w:rsidRPr="00112348" w:rsidRDefault="00175BF4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  <w:r w:rsidR="00175BF4" w:rsidRPr="00175BF4">
        <w:rPr>
          <w:rFonts w:ascii="Garamond" w:hAnsi="Garamond"/>
          <w:sz w:val="28"/>
        </w:rPr>
        <w:t xml:space="preserve"> </w:t>
      </w:r>
      <w:r w:rsidR="00175BF4">
        <w:rPr>
          <w:rFonts w:ascii="Garamond" w:hAnsi="Garamond"/>
          <w:sz w:val="28"/>
        </w:rPr>
        <w:t>a PODÁNÍ NABÍDKY</w:t>
      </w:r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4951F2">
        <w:rPr>
          <w:rFonts w:ascii="Garamond" w:hAnsi="Garamond"/>
          <w:b/>
          <w:highlight w:val="yellow"/>
        </w:rPr>
        <w:t>10</w:t>
      </w:r>
      <w:bookmarkStart w:id="36" w:name="_GoBack"/>
      <w:bookmarkEnd w:id="36"/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DD3029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DD3029">
        <w:rPr>
          <w:rFonts w:ascii="Garamond" w:hAnsi="Garamond"/>
          <w:b/>
          <w:highlight w:val="yellow"/>
        </w:rPr>
        <w:t>0</w:t>
      </w:r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8A0E39" w:rsidRDefault="00195648" w:rsidP="008A0E39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VYSVĚTLENÍ</w:t>
      </w:r>
      <w:r w:rsidR="008A0E39">
        <w:rPr>
          <w:rFonts w:ascii="Garamond" w:hAnsi="Garamond"/>
          <w:sz w:val="28"/>
        </w:rPr>
        <w:t xml:space="preserve"> ZADÁVACÍ DOKUMENTACE</w:t>
      </w:r>
    </w:p>
    <w:p w:rsidR="008A0E39" w:rsidRPr="008A0E39" w:rsidRDefault="008A0E39" w:rsidP="008A0E39"/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VYSVĚTLENÍ ZADÁVACÍ DOKUMENTACE</w:t>
      </w:r>
    </w:p>
    <w:p w:rsidR="008A0E39" w:rsidRDefault="008A0E39" w:rsidP="008A0E39">
      <w:pPr>
        <w:ind w:left="425"/>
        <w:jc w:val="both"/>
        <w:rPr>
          <w:rFonts w:ascii="Garamond" w:hAnsi="Garamond"/>
        </w:rPr>
      </w:pPr>
      <w:r>
        <w:rPr>
          <w:rFonts w:ascii="Garamond" w:hAnsi="Garamond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9" w:name="_Toc378837908"/>
      <w:bookmarkStart w:id="40" w:name="_Toc377734769"/>
      <w:r>
        <w:rPr>
          <w:rFonts w:ascii="Garamond" w:hAnsi="Garamond"/>
          <w:sz w:val="22"/>
          <w:szCs w:val="22"/>
        </w:rPr>
        <w:t>POSKYTOVÁNÍ VYSVĚTLENÍ ZADÁVACÍ DOKUMENTACE</w:t>
      </w:r>
      <w:bookmarkEnd w:id="39"/>
      <w:bookmarkEnd w:id="40"/>
    </w:p>
    <w:p w:rsidR="008A0E39" w:rsidRDefault="008A0E39" w:rsidP="008A0E39">
      <w:pPr>
        <w:spacing w:after="0"/>
        <w:ind w:left="432"/>
        <w:jc w:val="both"/>
        <w:rPr>
          <w:rFonts w:ascii="Garamond" w:hAnsi="Garamond" w:cs="StempelGaramondLTPro-Roman"/>
        </w:rPr>
      </w:pPr>
      <w:r>
        <w:rPr>
          <w:rFonts w:ascii="Garamond" w:hAnsi="Garamond"/>
        </w:rPr>
        <w:t xml:space="preserve">Dodavatel je oprávněn elektronicky požadovat po Zadavateli vysvětlení zadávací dokumentace, a to nejpozději ve lhůtě 8 pracovních dnů před uplynutím lhůty pro podání nabídek. Na základě žádosti </w:t>
      </w:r>
      <w:r>
        <w:rPr>
          <w:rFonts w:ascii="Garamond" w:hAnsi="Garamond"/>
        </w:rPr>
        <w:br/>
        <w:t>o vysvětlení zadávací dokumentace Zadavatel poskytne dodavateli vysvětlení zadávací dokumentace elektronicky prostřednictvím elektronického nástroje E-ZAK nejpozději do 3 pracovních dnů ode dne doručení žádosti dodavatele. Toto vysvětlení zadávací dokumentace, včetně přesného znění žádosti, poskytne Zadavatel i všem ostatním dodavatelům. Zadavatel</w:t>
      </w:r>
      <w:r>
        <w:rPr>
          <w:rFonts w:ascii="Garamond" w:hAnsi="Garamond" w:cs="StempelGaramondLTPro-Roman"/>
        </w:rPr>
        <w:t xml:space="preserve"> není povinen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 xml:space="preserve">tlení zadávací dokumentace poskytnout, pokud není </w:t>
      </w:r>
      <w:r>
        <w:rPr>
          <w:rFonts w:ascii="Garamond" w:hAnsi="Garamond" w:cs="StempelGaramondLTPro-Roman+01"/>
        </w:rPr>
        <w:t>ž</w:t>
      </w:r>
      <w:r>
        <w:rPr>
          <w:rFonts w:ascii="Garamond" w:hAnsi="Garamond" w:cs="StempelGaramondLTPro-Roman"/>
        </w:rPr>
        <w:t>ádost o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>tlení doru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ena v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as, tj. ve lhůtě uvedené ve větě první tohoto odstavce.</w:t>
      </w:r>
    </w:p>
    <w:p w:rsidR="00FD5127" w:rsidRPr="00F90C15" w:rsidRDefault="00FD5127" w:rsidP="00FD5127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1" w:name="_Toc377734770"/>
      <w:bookmarkStart w:id="42" w:name="_Toc378837909"/>
      <w:r w:rsidRPr="00F90C15">
        <w:rPr>
          <w:rFonts w:ascii="Garamond" w:hAnsi="Garamond"/>
          <w:sz w:val="22"/>
          <w:szCs w:val="22"/>
        </w:rPr>
        <w:t xml:space="preserve">POSKYTOVÁNÍ VYSVĚTLENÍ ZADÁVACÍ DOKUMENTACE BEZ PŘEDCHOZÍ ŽÁDOSTI </w:t>
      </w:r>
      <w:bookmarkEnd w:id="41"/>
      <w:bookmarkEnd w:id="42"/>
      <w:r>
        <w:rPr>
          <w:rFonts w:ascii="Garamond" w:hAnsi="Garamond"/>
          <w:sz w:val="22"/>
          <w:szCs w:val="22"/>
        </w:rPr>
        <w:t>DODAVATELE</w:t>
      </w:r>
    </w:p>
    <w:p w:rsidR="00FD5127" w:rsidRPr="00112348" w:rsidRDefault="00FD5127" w:rsidP="00FD5127">
      <w:pPr>
        <w:spacing w:after="0"/>
        <w:ind w:left="432"/>
        <w:jc w:val="both"/>
        <w:rPr>
          <w:rFonts w:ascii="Garamond" w:hAnsi="Garamond"/>
          <w:color w:val="FF0000"/>
        </w:rPr>
      </w:pPr>
      <w:r w:rsidRPr="00F90C15">
        <w:rPr>
          <w:rFonts w:ascii="Garamond" w:hAnsi="Garamond"/>
        </w:rPr>
        <w:t xml:space="preserve">Zadavatel může v souladu s ust. § 98 odst. 1 Zákona poskytnout </w:t>
      </w:r>
      <w:r>
        <w:rPr>
          <w:rFonts w:ascii="Garamond" w:hAnsi="Garamond"/>
        </w:rPr>
        <w:t>dodavatelům</w:t>
      </w:r>
      <w:r w:rsidRPr="00F90C15">
        <w:rPr>
          <w:rFonts w:ascii="Garamond" w:hAnsi="Garamond"/>
        </w:rPr>
        <w:t xml:space="preserve"> vysvětlení zadávací dokumentace prostřednictvím elektronického nástroje E-ZAK i bez předchozí žádosti </w:t>
      </w:r>
      <w:r>
        <w:rPr>
          <w:rFonts w:ascii="Garamond" w:hAnsi="Garamond"/>
        </w:rPr>
        <w:t>dodavatelů</w:t>
      </w:r>
      <w:r w:rsidRPr="00F90C15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43" w:name="_Toc377734764"/>
      <w:bookmarkStart w:id="44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43"/>
      <w:bookmarkEnd w:id="44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5" w:name="_Toc377734765"/>
      <w:bookmarkStart w:id="46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5"/>
      <w:bookmarkEnd w:id="46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7" w:name="_Toc377734766"/>
      <w:bookmarkStart w:id="48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7"/>
      <w:bookmarkEnd w:id="48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9" w:name="_Toc377734771"/>
      <w:bookmarkStart w:id="50" w:name="_Toc378837910"/>
      <w:r w:rsidRPr="00112348">
        <w:rPr>
          <w:rFonts w:ascii="Garamond" w:hAnsi="Garamond"/>
          <w:sz w:val="28"/>
        </w:rPr>
        <w:t>OSTATNÍ PODMÍNKY</w:t>
      </w:r>
      <w:bookmarkEnd w:id="49"/>
      <w:bookmarkEnd w:id="50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8A0E39" w:rsidRDefault="008A0E39" w:rsidP="00F94B04">
      <w:pPr>
        <w:spacing w:after="0"/>
        <w:ind w:left="426"/>
        <w:jc w:val="both"/>
        <w:rPr>
          <w:rFonts w:ascii="Garamond" w:hAnsi="Garamond"/>
        </w:rPr>
      </w:pPr>
    </w:p>
    <w:p w:rsidR="008A0E39" w:rsidRDefault="008A0E39" w:rsidP="008A0E39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ZRUŠENÍ VEŘEJNÉ ZAKÁZKY</w:t>
      </w:r>
    </w:p>
    <w:p w:rsidR="008A0E39" w:rsidRPr="00112348" w:rsidRDefault="008A0E39" w:rsidP="008A0E39">
      <w:pPr>
        <w:spacing w:after="0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Pokud Zadavatel zruší veřejnou zakázku, nevzniká dodavateli vůči Zadavateli jakýkoliv nárok na náhradu nákladů spojených s účastí v této veřejné zakázce.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5BF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5648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951F2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0E39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029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127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ZgzWNsyBF+lRrGsC8yn8w3cpX7Q=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70d4Mjq6kWKbN6OOeTBIrKo3/yY=</DigestValue>
    </Reference>
  </SignedInfo>
  <SignatureValue>CutAKZqDIwWx0NkJhWNsj4P3OPF9bMcggVIf9BDqC+VteSb1fMl5DOseJ0E0Sh7VjMT2AqKZ2Rux
dC7AgyGU/B4jOGoEWxzVp/+cmVcHIBRjzOmuuu6y3krKlAk492X8LEXzxsbhIl8G6KEpbEiw9akT
Wl7++szsce2F/+v9VeHpW3w6Pgo2vyU9YpNyW9eJ243TzlbjQh/P2YfODHMNTjSyV7iVSf1VKpf4
bV6COtoafvhafnj9YLYe+yWf7LGE/SBIKyxPjZBYHZ4oLKj4IvifozaZA7XfrPF7seNwg7VtTjHB
ITVFZ/uO3NJRKWopTX8tNxjSiDHSoros5EJuog==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aozPWCB0msrwTqasquFUFNNkD+4=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vTwaN4KYHU3KtYmFTl8Ua6KPaqo=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jCFjMg7r0dKRV4NTa/IVI/mhCW0=</DigestValue>
      </Reference>
      <Reference URI="/word/fontTable.xml?ContentType=application/vnd.openxmlformats-officedocument.wordprocessingml.fontTable+xml">
        <DigestMethod Algorithm="http://www.w3.org/2000/09/xmldsig#sha1"/>
        <DigestValue>N7yjQUakeR0L0Y5eA6LKAGDylbU=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G3SDIPGnOas0u2Uz1g7Vjt/Q2Mg=</DigestValue>
      </Reference>
      <Reference URI="/word/document.xml?ContentType=application/vnd.openxmlformats-officedocument.wordprocessingml.document.main+xml">
        <DigestMethod Algorithm="http://www.w3.org/2000/09/xmldsig#sha1"/>
        <DigestValue>5W1h6VcClUC3DAfXQEw8fl6mmwg=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2016-10-27T13:01:28Z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2016-10-27T13:01:28Z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6878-0B4A-42F2-A2CE-F13734CA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1614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2014-08-25T12:38:00Z</cp:lastPrinted>
  <dcterms:created xsi:type="dcterms:W3CDTF">2016-10-27T13:01:00Z</dcterms:created>
  <dcterms:modified xsi:type="dcterms:W3CDTF">2016-10-27T13:01:00Z</dcterms:modified>
</cp:coreProperties>
</file>